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0"/>
        <w:ind w:firstLine="0"/>
        <w:jc w:val="center"/>
        <w:rPr>
          <w:rFonts w:hint="eastAsia" w:eastAsia="黑体"/>
          <w:b/>
          <w:bCs/>
          <w:sz w:val="84"/>
          <w:lang w:eastAsia="zh-CN"/>
        </w:rPr>
      </w:pPr>
      <w:r>
        <w:rPr>
          <w:rFonts w:hint="eastAsia" w:eastAsia="黑体"/>
          <w:b/>
          <w:bCs/>
          <w:sz w:val="84"/>
          <w:lang w:eastAsia="zh-CN"/>
        </w:rPr>
        <w:t xml:space="preserve">竞争性谈判文件</w:t>
      </w:r>
      <w:r/>
    </w:p>
    <w:p>
      <w:pPr>
        <w:pStyle w:val="860"/>
        <w:ind w:firstLine="1606"/>
        <w:rPr>
          <w:rFonts w:hint="eastAsia" w:ascii="Arial" w:hAnsi="Arial"/>
          <w:b/>
          <w:bCs/>
          <w:sz w:val="32"/>
          <w:szCs w:val="24"/>
          <w:u w:val="single"/>
        </w:rPr>
      </w:pPr>
      <w:r>
        <w:rPr>
          <w:rFonts w:hint="eastAsia" w:ascii="Arial" w:hAnsi="Arial"/>
          <w:b/>
          <w:bCs/>
          <w:sz w:val="32"/>
          <w:szCs w:val="24"/>
        </w:rPr>
        <w:t xml:space="preserve">项目名称：</w:t>
      </w:r>
      <w:r>
        <w:rPr>
          <w:rFonts w:ascii="Times New Roman" w:hAnsi="Times New Roman"/>
          <w:bCs/>
          <w:sz w:val="32"/>
          <w:szCs w:val="32"/>
        </w:rPr>
        <w:t xml:space="preserve">紫金山实验室异构存算解耦CXL资源池化平台软件开发服务</w:t>
      </w:r>
      <w:r>
        <w:rPr>
          <w:rFonts w:hint="eastAsia" w:ascii="Times New Roman" w:hAnsi="Times New Roman"/>
          <w:b/>
          <w:sz w:val="32"/>
          <w:szCs w:val="32"/>
        </w:rPr>
        <w:t xml:space="preserve"> </w:t>
      </w:r>
      <w:r>
        <w:rPr>
          <w:rFonts w:hint="eastAsia" w:ascii="Arial" w:hAnsi="Arial"/>
          <w:b/>
          <w:bCs/>
          <w:sz w:val="32"/>
          <w:szCs w:val="24"/>
          <w:u w:val="single"/>
        </w:rPr>
      </w:r>
      <w:r/>
    </w:p>
    <w:p>
      <w:pPr>
        <w:pStyle w:val="860"/>
        <w:ind w:firstLine="1606"/>
        <w:jc w:val="left"/>
        <w:spacing w:before="120" w:after="120" w:line="360" w:lineRule="auto"/>
      </w:pPr>
      <w:r>
        <w:rPr>
          <w:rFonts w:hint="eastAsia" w:ascii="Arial" w:hAnsi="Arial"/>
          <w:b/>
          <w:bCs/>
          <w:sz w:val="32"/>
          <w:szCs w:val="24"/>
        </w:rPr>
        <w:t xml:space="preserve">项目编号：</w:t>
      </w:r>
      <w:r>
        <w:rPr>
          <w:rFonts w:ascii="Times New Roman" w:hAnsi="Times New Roman"/>
          <w:b/>
          <w:sz w:val="32"/>
          <w:szCs w:val="32"/>
        </w:rPr>
        <w:t xml:space="preserve">JSZC-320100-JZCG-T2026-0158</w:t>
      </w:r>
      <w:r/>
    </w:p>
    <w:p>
      <w:pPr>
        <w:pStyle w:val="860"/>
        <w:jc w:val="center"/>
        <w:rPr>
          <w:rFonts w:hint="eastAsia" w:ascii="Times New Roman" w:hAnsi="Times New Roman"/>
          <w:b/>
          <w:sz w:val="30"/>
          <w:szCs w:val="30"/>
        </w:rPr>
      </w:pPr>
      <w:r>
        <w:rPr>
          <w:rFonts w:hint="eastAsia" w:ascii="Times New Roman" w:hAnsi="Times New Roman"/>
          <w:b/>
          <w:sz w:val="30"/>
          <w:szCs w:val="30"/>
        </w:rPr>
        <w:t xml:space="preserve">（</w:t>
      </w:r>
      <w:r>
        <w:rPr>
          <w:rFonts w:hint="eastAsia" w:ascii="宋体" w:hAnsi="宋体" w:cs="宋体"/>
          <w:b/>
          <w:bCs/>
          <w:sz w:val="30"/>
          <w:szCs w:val="30"/>
        </w:rPr>
        <w:t xml:space="preserve">非专门</w:t>
      </w:r>
      <w:r>
        <w:rPr>
          <w:rFonts w:hint="eastAsia" w:ascii="Times New Roman" w:hAnsi="Times New Roman"/>
          <w:b/>
          <w:sz w:val="30"/>
          <w:szCs w:val="30"/>
        </w:rPr>
        <w:t xml:space="preserve">面向中小企业）</w:t>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950"/>
        <w:ind w:firstLine="0"/>
        <w:jc w:val="center"/>
        <w:rPr>
          <w:rFonts w:hint="eastAsia"/>
          <w:b/>
          <w:bCs/>
          <w:sz w:val="32"/>
          <w:lang w:eastAsia="zh-CN"/>
        </w:rPr>
      </w:pPr>
      <w:r>
        <w:rPr>
          <w:rFonts w:hint="eastAsia"/>
          <w:b/>
          <w:bCs/>
          <w:sz w:val="32"/>
          <w:lang w:eastAsia="zh-CN"/>
        </w:rPr>
        <w:t xml:space="preserve">南京市公共资源交易中心</w:t>
      </w:r>
      <w:r/>
    </w:p>
    <w:p>
      <w:pPr>
        <w:pStyle w:val="860"/>
        <w:jc w:val="center"/>
        <w:rPr>
          <w:rFonts w:hint="eastAsia" w:ascii="Times New Roman" w:hAnsi="Times New Roman"/>
          <w:b/>
          <w:sz w:val="32"/>
          <w:szCs w:val="32"/>
        </w:rPr>
      </w:pPr>
      <w:r>
        <w:rPr>
          <w:rFonts w:hint="eastAsia" w:ascii="Times New Roman" w:hAnsi="Times New Roman"/>
          <w:b/>
          <w:sz w:val="32"/>
          <w:szCs w:val="32"/>
        </w:rPr>
        <w:t xml:space="preserve">2026年6月</w:t>
      </w:r>
      <w:r/>
    </w:p>
    <w:p>
      <w:pPr>
        <w:pStyle w:val="8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jc w:val="center"/>
        <w:spacing w:before="120" w:after="120" w:line="360" w:lineRule="auto"/>
        <w:rPr>
          <w:rFonts w:ascii="Arial" w:hAnsi="Arial"/>
          <w:sz w:val="24"/>
          <w:szCs w:val="24"/>
        </w:rPr>
      </w:pPr>
      <w:r>
        <w:rPr>
          <w:rFonts w:ascii="Arial" w:hAnsi="Arial"/>
          <w:sz w:val="24"/>
          <w:szCs w:val="24"/>
        </w:rPr>
      </w:r>
      <w:r>
        <w:rPr>
          <w:rFonts w:ascii="Arial" w:hAnsi="Arial"/>
          <w:sz w:val="24"/>
          <w:szCs w:val="24"/>
        </w:rPr>
      </w:r>
      <w:r/>
    </w:p>
    <w:p>
      <w:pPr>
        <w:jc w:val="center"/>
        <w:spacing w:before="120" w:after="120" w:line="360" w:lineRule="auto"/>
        <w:rPr>
          <w:rFonts w:ascii="Arial" w:hAnsi="Arial"/>
          <w:sz w:val="24"/>
          <w:szCs w:val="24"/>
        </w:rPr>
      </w:pPr>
      <w:r>
        <w:rPr>
          <w:rFonts w:ascii="Arial" w:hAnsi="Arial"/>
          <w:sz w:val="24"/>
          <w:szCs w:val="24"/>
        </w:rPr>
      </w:r>
      <w:r>
        <w:rPr>
          <w:rFonts w:ascii="Arial" w:hAnsi="Arial"/>
          <w:sz w:val="24"/>
          <w:szCs w:val="24"/>
        </w:rPr>
      </w:r>
      <w:r/>
    </w:p>
    <w:p>
      <w:pPr>
        <w:jc w:val="center"/>
        <w:spacing w:before="120" w:after="120" w:line="360" w:lineRule="auto"/>
        <w:rPr>
          <w:rFonts w:ascii="Arial" w:hAnsi="Arial"/>
          <w:sz w:val="24"/>
          <w:szCs w:val="24"/>
        </w:rPr>
      </w:pPr>
      <w:r>
        <w:rPr>
          <w:rFonts w:ascii="Arial" w:hAnsi="Arial"/>
          <w:sz w:val="24"/>
          <w:szCs w:val="24"/>
        </w:rPr>
      </w:r>
      <w:r>
        <w:rPr>
          <w:rFonts w:ascii="Arial" w:hAnsi="Arial"/>
          <w:sz w:val="24"/>
          <w:szCs w:val="24"/>
        </w:rPr>
      </w:r>
      <w:r/>
    </w:p>
    <w:p>
      <w:pPr>
        <w:pStyle w:val="873"/>
      </w:pPr>
      <w:r/>
      <w:r/>
    </w:p>
    <w:p>
      <w:pPr>
        <w:pStyle w:val="860"/>
      </w:pPr>
      <w:r/>
      <w:r/>
    </w:p>
    <w:p>
      <w:pPr>
        <w:pStyle w:val="873"/>
        <w:rPr>
          <w:rFonts w:hint="eastAsia"/>
        </w:rPr>
      </w:pPr>
      <w:r>
        <w:rPr>
          <w:rFonts w:hint="eastAsia"/>
        </w:rPr>
      </w:r>
      <w:r/>
    </w:p>
    <w:p>
      <w:pPr>
        <w:pStyle w:val="860"/>
        <w:spacing w:line="480" w:lineRule="exact"/>
        <w:rPr>
          <w:rFonts w:hint="eastAsia" w:ascii="宋体" w:hAnsi="宋体" w:cs="宋体"/>
          <w:b/>
          <w:bCs/>
          <w:sz w:val="24"/>
          <w:szCs w:val="24"/>
        </w:rPr>
      </w:pPr>
      <w:r>
        <w:rPr>
          <w:rFonts w:hint="eastAsia" w:ascii="宋体" w:hAnsi="宋体" w:cs="宋体"/>
          <w:b/>
          <w:bCs/>
          <w:sz w:val="24"/>
          <w:szCs w:val="24"/>
        </w:rPr>
      </w:r>
      <w:r/>
    </w:p>
    <w:p>
      <w:pPr>
        <w:pStyle w:val="860"/>
        <w:jc w:val="center"/>
        <w:spacing w:line="480" w:lineRule="auto"/>
        <w:rPr>
          <w:rFonts w:hint="eastAsia" w:ascii="黑体" w:hAnsi="Arial" w:eastAsia="黑体"/>
          <w:b/>
          <w:sz w:val="44"/>
          <w:szCs w:val="21"/>
        </w:rPr>
        <w:outlineLvl w:val="0"/>
      </w:pPr>
      <w:r/>
      <w:bookmarkStart w:id="0" w:name="_Toc120614210"/>
      <w:r/>
      <w:bookmarkStart w:id="1" w:name="_Toc523127445"/>
      <w:r/>
      <w:bookmarkStart w:id="2" w:name="_Toc20823272"/>
      <w:r/>
      <w:bookmarkStart w:id="3" w:name="_Toc479757206"/>
      <w:r/>
      <w:bookmarkStart w:id="4" w:name="_Toc16938516"/>
      <w:r/>
      <w:bookmarkStart w:id="5" w:name="_Toc513029200"/>
      <w:r>
        <w:rPr>
          <w:rFonts w:hint="eastAsia" w:ascii="黑体" w:hAnsi="Arial" w:eastAsia="黑体"/>
          <w:b/>
          <w:sz w:val="44"/>
          <w:szCs w:val="21"/>
        </w:rPr>
        <w:t xml:space="preserve">总  目  录</w:t>
      </w:r>
      <w:r/>
    </w:p>
    <w:p>
      <w:pPr>
        <w:pStyle w:val="860"/>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谈判邀请…………………………………… </w:t>
      </w:r>
      <w:r>
        <w:rPr>
          <w:rFonts w:hint="eastAsia" w:ascii="黑体" w:hAnsi="宋体" w:eastAsia="黑体"/>
          <w:sz w:val="36"/>
          <w:szCs w:val="21"/>
        </w:rPr>
        <w:t xml:space="preserve">3</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w:t>
      </w:r>
      <w:r>
        <w:rPr>
          <w:rFonts w:hint="eastAsia" w:ascii="黑体" w:hAnsi="宋体" w:eastAsia="黑体"/>
          <w:sz w:val="36"/>
          <w:szCs w:val="21"/>
        </w:rPr>
        <w:t xml:space="preserve">5</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rPr>
        <w:t xml:space="preserve">15</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w:t>
      </w:r>
      <w:r>
        <w:rPr>
          <w:rFonts w:hint="eastAsia" w:ascii="黑体" w:hAnsi="宋体" w:eastAsia="黑体"/>
          <w:sz w:val="36"/>
          <w:szCs w:val="21"/>
        </w:rPr>
        <w:t xml:space="preserve">19</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成交标准……………………………………24</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w:t>
      </w:r>
      <w:r>
        <w:rPr>
          <w:rFonts w:hint="eastAsia" w:ascii="黑体" w:hAnsi="宋体" w:eastAsia="黑体"/>
          <w:sz w:val="36"/>
          <w:szCs w:val="21"/>
        </w:rPr>
        <w:t xml:space="preserve">格式………………………………25</w:t>
      </w:r>
      <w:r/>
    </w:p>
    <w:p>
      <w:pPr>
        <w:pStyle w:val="860"/>
        <w:spacing w:line="480" w:lineRule="auto"/>
        <w:rPr>
          <w:rFonts w:hint="eastAsia" w:ascii="Times New Roman" w:hAnsi="Times New Roman"/>
          <w:szCs w:val="21"/>
        </w:rPr>
      </w:pPr>
      <w:r>
        <w:rPr>
          <w:rFonts w:hint="eastAsia" w:ascii="Times New Roman" w:hAnsi="Times New Roman"/>
          <w:szCs w:val="21"/>
        </w:rPr>
      </w:r>
      <w:r/>
    </w:p>
    <w:p>
      <w:pPr>
        <w:pStyle w:val="860"/>
        <w:rPr>
          <w:rFonts w:hint="eastAsia" w:ascii="Times New Roman" w:hAnsi="Times New Roman"/>
          <w:szCs w:val="21"/>
        </w:rPr>
      </w:pPr>
      <w:r>
        <w:rPr>
          <w:rFonts w:hint="eastAsia" w:ascii="Times New Roman" w:hAnsi="Times New Roman"/>
          <w:szCs w:val="21"/>
        </w:rPr>
      </w:r>
      <w:r/>
    </w:p>
    <w:p>
      <w:pPr>
        <w:pStyle w:val="860"/>
        <w:rPr>
          <w:rFonts w:hint="eastAsia" w:ascii="Times New Roman" w:hAnsi="Times New Roman"/>
          <w:szCs w:val="21"/>
        </w:rPr>
      </w:pPr>
      <w:r>
        <w:rPr>
          <w:rFonts w:hint="eastAsia" w:ascii="Times New Roman" w:hAnsi="Times New Roman"/>
          <w:szCs w:val="21"/>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谈判邀请</w:t>
      </w:r>
      <w:r/>
    </w:p>
    <w:p>
      <w:pPr>
        <w:pStyle w:val="860"/>
        <w:ind w:firstLine="480"/>
        <w:rPr>
          <w:rFonts w:hint="eastAsia" w:ascii="宋体" w:hAnsi="宋体"/>
          <w:sz w:val="24"/>
          <w:szCs w:val="24"/>
        </w:rPr>
      </w:pPr>
      <w:r/>
      <w:bookmarkStart w:id="6" w:name="_Toc35393621"/>
      <w:r/>
      <w:bookmarkStart w:id="7" w:name="_Toc35393790"/>
      <w:r/>
      <w:bookmarkStart w:id="8" w:name="_Toc28359002"/>
      <w:r/>
      <w:bookmarkStart w:id="9" w:name="_Toc28359079"/>
      <w:r/>
      <w:bookmarkStart w:id="10" w:name="_Toc38985263"/>
      <w:r/>
      <w:bookmarkStart w:id="11" w:name="_Hlk24379207"/>
      <w:r/>
      <w:bookmarkStart w:id="12" w:name="_Toc35393791"/>
      <w:r/>
      <w:bookmarkStart w:id="13" w:name="_Toc28359003"/>
      <w:r/>
      <w:bookmarkStart w:id="14" w:name="_Toc35393622"/>
      <w:r/>
      <w:bookmarkStart w:id="15" w:name="_Toc28359080"/>
      <w:r/>
      <w:bookmarkStart w:id="16" w:name="_Toc38985264"/>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受</w:t>
      </w:r>
      <w:r>
        <w:rPr>
          <w:rFonts w:ascii="宋体" w:hAnsi="宋体"/>
          <w:sz w:val="24"/>
          <w:szCs w:val="24"/>
        </w:rPr>
        <w:t xml:space="preserve">紫金山实验室</w:t>
      </w:r>
      <w:r>
        <w:rPr>
          <w:rFonts w:hint="eastAsia" w:ascii="宋体" w:hAnsi="宋体"/>
          <w:sz w:val="24"/>
          <w:szCs w:val="24"/>
        </w:rPr>
        <w:t xml:space="preserve">委托，南京市公共资源交易中心（以下简称“交易中心”）就</w:t>
      </w:r>
      <w:r>
        <w:rPr>
          <w:rFonts w:ascii="宋体" w:hAnsi="宋体"/>
          <w:sz w:val="24"/>
          <w:szCs w:val="24"/>
        </w:rPr>
        <w:t xml:space="preserve">紫金山实验室异构存算解耦CXL资源池化平台软件开发服务</w:t>
      </w:r>
      <w:r>
        <w:rPr>
          <w:rFonts w:hint="eastAsia" w:ascii="宋体" w:hAnsi="宋体"/>
          <w:sz w:val="24"/>
          <w:szCs w:val="24"/>
        </w:rPr>
        <w:t xml:space="preserve">进行竞争性谈判采购，欢迎符合条件的供应商参加谈判。</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0"/>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JSZC-320100-JZCG-T2026-0158</w:t>
      </w:r>
      <w:r/>
    </w:p>
    <w:p>
      <w:pPr>
        <w:pStyle w:val="860"/>
        <w:ind w:firstLine="480"/>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紫金山实验室异构存算解耦CXL资源池化平台软件开发服务</w:t>
      </w:r>
      <w:r>
        <w:rPr>
          <w:rFonts w:hint="eastAsia" w:ascii="宋体" w:hAnsi="宋体"/>
          <w:sz w:val="24"/>
          <w:szCs w:val="24"/>
        </w:rPr>
      </w:r>
      <w:r/>
    </w:p>
    <w:p>
      <w:pPr>
        <w:pStyle w:val="860"/>
        <w:ind w:firstLine="480"/>
        <w:rPr>
          <w:rFonts w:hint="eastAsia" w:ascii="宋体" w:hAnsi="宋体"/>
          <w:sz w:val="24"/>
          <w:szCs w:val="24"/>
        </w:rPr>
      </w:pPr>
      <w:r/>
      <w:bookmarkEnd w:id="11"/>
      <w:r>
        <w:rPr>
          <w:rFonts w:hint="eastAsia" w:ascii="宋体" w:hAnsi="宋体"/>
          <w:sz w:val="24"/>
          <w:szCs w:val="24"/>
        </w:rPr>
        <w:t xml:space="preserve">3.预算金额：</w:t>
      </w:r>
      <w:bookmarkStart w:id="17" w:name="OLE_LINK5"/>
      <w:r>
        <w:rPr>
          <w:rFonts w:hint="eastAsia" w:ascii="宋体" w:hAnsi="宋体"/>
          <w:sz w:val="24"/>
          <w:szCs w:val="24"/>
        </w:rPr>
        <w:t xml:space="preserve">55万元</w:t>
      </w:r>
      <w:bookmarkEnd w:id="17"/>
      <w:r>
        <w:rPr>
          <w:rFonts w:hint="eastAsia" w:ascii="宋体" w:hAnsi="宋体"/>
          <w:sz w:val="24"/>
          <w:szCs w:val="24"/>
        </w:rPr>
        <w:t xml:space="preserve"> </w:t>
      </w:r>
      <w:r/>
    </w:p>
    <w:p>
      <w:pPr>
        <w:pStyle w:val="860"/>
        <w:ind w:firstLine="480"/>
        <w:rPr>
          <w:rFonts w:hint="eastAsia"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50万元</w:t>
      </w:r>
      <w:r>
        <w:rPr>
          <w:rFonts w:hint="eastAsia" w:ascii="宋体" w:hAnsi="宋体"/>
          <w:sz w:val="24"/>
          <w:szCs w:val="24"/>
        </w:rPr>
      </w:r>
      <w:r/>
    </w:p>
    <w:p>
      <w:pPr>
        <w:pStyle w:val="860"/>
        <w:ind w:firstLine="480"/>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为构建面向</w:t>
      </w:r>
      <w:r>
        <w:rPr>
          <w:rFonts w:ascii="宋体" w:hAnsi="宋体"/>
          <w:sz w:val="24"/>
          <w:szCs w:val="24"/>
        </w:rPr>
        <w:t xml:space="preserve">异构解耦存算资源的存算驱动模块，实现异构计算、内存资源的逻辑解耦与弹性组合，支撑原生开放智能的算网操作系统，采购人已先行采购了完整的硬件实验平台。本次软件开发服务须基于已有硬件环境，完成CXL交换控制、共享内存管理、Fabric管控、内存动态扩缩及异构CPU适配等核心软件模块的设计、开发、部署与联调。供应商须充分理解硬件平台架构与接口，交付一套完整、可运行的存算资源池化软件系统。</w:t>
      </w:r>
      <w:r>
        <w:rPr>
          <w:rFonts w:hint="eastAsia" w:ascii="宋体" w:hAnsi="宋体" w:cs="宋体"/>
          <w:sz w:val="24"/>
          <w:szCs w:val="24"/>
        </w:rPr>
        <w:t xml:space="preserve">（详细内容见本谈判文件第四章） </w:t>
      </w:r>
      <w:r>
        <w:rPr>
          <w:rFonts w:ascii="宋体" w:hAnsi="宋体"/>
          <w:sz w:val="24"/>
          <w:szCs w:val="24"/>
          <w:u w:val="single"/>
        </w:rPr>
      </w:r>
      <w:r/>
    </w:p>
    <w:p>
      <w:pPr>
        <w:pStyle w:val="860"/>
        <w:ind w:firstLine="480"/>
        <w:rPr>
          <w:rFonts w:hint="eastAsia" w:ascii="宋体" w:hAnsi="宋体"/>
          <w:sz w:val="24"/>
          <w:szCs w:val="24"/>
        </w:rPr>
      </w:pPr>
      <w:r>
        <w:rPr>
          <w:rFonts w:hint="eastAsia" w:ascii="宋体" w:hAnsi="宋体"/>
          <w:sz w:val="24"/>
          <w:szCs w:val="24"/>
        </w:rPr>
        <w:t xml:space="preserve">6.合同履行期限：</w:t>
      </w:r>
      <w:r>
        <w:rPr>
          <w:rFonts w:hint="eastAsia" w:ascii="宋体" w:hAnsi="宋体"/>
          <w:sz w:val="24"/>
          <w:szCs w:val="24"/>
        </w:rPr>
        <w:t xml:space="preserve">120天</w:t>
      </w:r>
      <w:r/>
    </w:p>
    <w:p>
      <w:pPr>
        <w:pStyle w:val="860"/>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联合体参加谈判。</w:t>
      </w:r>
      <w:r/>
    </w:p>
    <w:p>
      <w:pPr>
        <w:pStyle w:val="860"/>
        <w:ind w:firstLine="480"/>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rPr>
        <w:t xml:space="preserve">不接受</w:t>
      </w:r>
      <w:r>
        <w:rPr>
          <w:rFonts w:hint="eastAsia" w:ascii="宋体" w:hAnsi="宋体" w:cs="宋体"/>
          <w:sz w:val="24"/>
          <w:szCs w:val="24"/>
        </w:rPr>
        <w:t xml:space="preserve">进口产品。</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End w:id="12"/>
      <w:r/>
      <w:bookmarkEnd w:id="13"/>
      <w:r/>
      <w:bookmarkEnd w:id="14"/>
      <w:r/>
      <w:bookmarkEnd w:id="15"/>
      <w:r/>
      <w:bookmarkEnd w:id="16"/>
      <w:r/>
      <w:bookmarkStart w:id="18" w:name="_Toc28359004"/>
      <w:r/>
      <w:bookmarkStart w:id="19" w:name="_Toc35393623"/>
      <w:r/>
      <w:bookmarkStart w:id="20" w:name="_Toc38985265"/>
      <w:r/>
      <w:bookmarkStart w:id="21" w:name="_Toc28359081"/>
      <w:r/>
      <w:bookmarkStart w:id="22" w:name="_Toc35393792"/>
      <w:r>
        <w:rPr>
          <w:rFonts w:hint="eastAsia" w:ascii="方正黑体_GBK" w:hAnsi="方正黑体_GBK" w:eastAsia="方正黑体_GBK" w:cs="方正黑体_GBK"/>
          <w:b w:val="0"/>
          <w:bCs w:val="0"/>
          <w:sz w:val="30"/>
          <w:szCs w:val="30"/>
        </w:rPr>
        <w:t xml:space="preserve">二、申请人的</w:t>
      </w:r>
      <w:r>
        <w:rPr>
          <w:rFonts w:hint="eastAsia" w:ascii="方正黑体_GBK" w:hAnsi="方正黑体_GBK" w:eastAsia="方正黑体_GBK" w:cs="方正黑体_GBK"/>
          <w:b w:val="0"/>
          <w:bCs w:val="0"/>
          <w:sz w:val="30"/>
          <w:szCs w:val="30"/>
        </w:rPr>
        <w:t xml:space="preserve">资格要求</w:t>
      </w:r>
      <w:r/>
    </w:p>
    <w:p>
      <w:pPr>
        <w:pStyle w:val="860"/>
        <w:ind w:firstLine="480"/>
        <w:rPr>
          <w:rFonts w:hint="eastAsia" w:ascii="宋体" w:hAnsi="宋体" w:cs="宋体"/>
          <w:sz w:val="24"/>
          <w:szCs w:val="24"/>
        </w:rPr>
      </w:pPr>
      <w:r>
        <w:rPr>
          <w:rFonts w:hint="eastAsia" w:ascii="宋体" w:hAnsi="宋体" w:cs="宋体"/>
          <w:sz w:val="24"/>
          <w:szCs w:val="24"/>
        </w:rPr>
        <w:t xml:space="preserve">（一）通用资格要求</w:t>
      </w:r>
      <w:r/>
    </w:p>
    <w:p>
      <w:pPr>
        <w:pStyle w:val="860"/>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rPr>
      </w:r>
      <w:r/>
    </w:p>
    <w:p>
      <w:pPr>
        <w:pStyle w:val="860"/>
        <w:ind w:firstLine="480"/>
        <w:rPr>
          <w:rFonts w:hint="eastAsia" w:ascii="宋体" w:hAnsi="宋体"/>
          <w:sz w:val="24"/>
          <w:szCs w:val="24"/>
          <w:lang w:val="zh-CN"/>
        </w:rPr>
      </w:pPr>
      <w:r>
        <w:rPr>
          <w:rFonts w:hint="eastAsia" w:ascii="宋体" w:hAnsi="宋体"/>
          <w:sz w:val="24"/>
          <w:szCs w:val="24"/>
        </w:rPr>
        <w:t xml:space="preserve">2.落实政府采购政策需满足的资格要求：</w:t>
      </w:r>
      <w:r>
        <w:rPr>
          <w:rFonts w:hint="eastAsia" w:ascii="宋体" w:hAnsi="宋体"/>
          <w:sz w:val="24"/>
          <w:szCs w:val="24"/>
          <w:lang w:val="zh-CN"/>
        </w:rPr>
        <w:t xml:space="preserve">无</w:t>
      </w:r>
      <w:r/>
    </w:p>
    <w:p>
      <w:pPr>
        <w:pStyle w:val="860"/>
        <w:ind w:firstLine="480"/>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pStyle w:val="860"/>
        <w:ind w:firstLine="480"/>
        <w:rPr>
          <w:rFonts w:hint="eastAsia" w:ascii="宋体" w:hAnsi="宋体"/>
          <w:sz w:val="24"/>
          <w:szCs w:val="24"/>
        </w:rPr>
      </w:pPr>
      <w:r>
        <w:rPr>
          <w:rFonts w:hint="eastAsia" w:ascii="宋体" w:hAnsi="宋体" w:cs="宋体"/>
          <w:sz w:val="24"/>
          <w:szCs w:val="24"/>
        </w:rPr>
        <w:t xml:space="preserve">（二）本项目的特定资格要求：</w:t>
      </w:r>
      <w:r>
        <w:rPr>
          <w:rFonts w:hint="eastAsia" w:ascii="宋体" w:hAnsi="宋体"/>
          <w:sz w:val="24"/>
          <w:szCs w:val="24"/>
        </w:rPr>
        <w:t xml:space="preserve">无</w:t>
      </w:r>
      <w:r/>
    </w:p>
    <w:p>
      <w:pPr>
        <w:pStyle w:val="860"/>
        <w:ind w:firstLine="480"/>
        <w:rPr>
          <w:rFonts w:hint="eastAsia" w:ascii="宋体" w:hAnsi="宋体" w:cs="宋体"/>
          <w:sz w:val="24"/>
          <w:szCs w:val="24"/>
        </w:rPr>
      </w:pPr>
      <w:r>
        <w:rPr>
          <w:rFonts w:hint="eastAsia" w:ascii="宋体" w:hAnsi="宋体" w:cs="宋体"/>
          <w:sz w:val="24"/>
          <w:szCs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w:t>
      </w:r>
      <w:bookmarkEnd w:id="18"/>
      <w:r/>
      <w:bookmarkEnd w:id="19"/>
      <w:r/>
      <w:bookmarkEnd w:id="20"/>
      <w:r/>
      <w:bookmarkEnd w:id="21"/>
      <w:r/>
      <w:bookmarkEnd w:id="22"/>
      <w:r>
        <w:rPr>
          <w:rFonts w:hint="eastAsia" w:ascii="方正黑体_GBK" w:hAnsi="方正黑体_GBK" w:eastAsia="方正黑体_GBK" w:cs="方正黑体_GBK"/>
          <w:b w:val="0"/>
          <w:bCs w:val="0"/>
          <w:sz w:val="30"/>
          <w:szCs w:val="30"/>
        </w:rPr>
        <w:t xml:space="preserve">谈判文件</w:t>
      </w:r>
      <w:r/>
    </w:p>
    <w:p>
      <w:pPr>
        <w:pStyle w:val="860"/>
        <w:ind w:firstLine="480"/>
        <w:rPr>
          <w:rFonts w:hint="eastAsia" w:ascii="宋体" w:hAnsi="宋体"/>
          <w:sz w:val="24"/>
          <w:szCs w:val="24"/>
        </w:rPr>
      </w:pPr>
      <w:r/>
      <w:bookmarkStart w:id="23" w:name="_Toc28359082"/>
      <w:r/>
      <w:bookmarkStart w:id="24" w:name="_Toc28359005"/>
      <w:r/>
      <w:bookmarkStart w:id="25" w:name="_Toc35393624"/>
      <w:r/>
      <w:bookmarkStart w:id="26" w:name="_Toc35393793"/>
      <w:r/>
      <w:bookmarkStart w:id="27" w:name="_Toc38985266"/>
      <w:r>
        <w:rPr>
          <w:rFonts w:hint="eastAsia" w:ascii="宋体" w:hAnsi="宋体"/>
          <w:sz w:val="24"/>
          <w:szCs w:val="24"/>
        </w:rPr>
        <w:t xml:space="preserve">1</w:t>
      </w:r>
      <w:r>
        <w:rPr>
          <w:rFonts w:hint="eastAsia" w:ascii="宋体" w:hAnsi="宋体"/>
          <w:sz w:val="24"/>
          <w:szCs w:val="24"/>
        </w:rPr>
        <w:t xml:space="preserve">.时间：自谈判文件公告发布之日起。</w:t>
      </w:r>
      <w:r/>
    </w:p>
    <w:p>
      <w:pPr>
        <w:pStyle w:val="860"/>
        <w:ind w:firstLine="480"/>
        <w:rPr>
          <w:rFonts w:hint="eastAsia" w:ascii="宋体" w:hAnsi="宋体"/>
          <w:sz w:val="24"/>
          <w:szCs w:val="24"/>
        </w:rPr>
      </w:pPr>
      <w:r>
        <w:rPr>
          <w:rFonts w:hint="eastAsia" w:ascii="宋体" w:hAnsi="宋体"/>
          <w:sz w:val="24"/>
          <w:szCs w:val="24"/>
        </w:rPr>
        <w:t xml:space="preserve">2.方式：在“江苏政府采购网”免费下载。</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w:t>
      </w:r>
      <w:bookmarkEnd w:id="23"/>
      <w:r/>
      <w:bookmarkEnd w:id="24"/>
      <w:r>
        <w:rPr>
          <w:rFonts w:hint="eastAsia" w:ascii="方正黑体_GBK" w:hAnsi="方正黑体_GBK" w:eastAsia="方正黑体_GBK" w:cs="方正黑体_GBK"/>
          <w:b w:val="0"/>
          <w:bCs w:val="0"/>
          <w:sz w:val="30"/>
          <w:szCs w:val="30"/>
        </w:rPr>
        <w:t xml:space="preserve">响应文件截止时间</w:t>
      </w:r>
      <w:bookmarkEnd w:id="25"/>
      <w:r/>
      <w:bookmarkEnd w:id="26"/>
      <w:r/>
      <w:bookmarkEnd w:id="27"/>
      <w:r>
        <w:rPr>
          <w:rFonts w:hint="eastAsia" w:ascii="方正黑体_GBK" w:hAnsi="方正黑体_GBK" w:eastAsia="方正黑体_GBK" w:cs="方正黑体_GBK"/>
          <w:b w:val="0"/>
          <w:bCs w:val="0"/>
          <w:sz w:val="30"/>
          <w:szCs w:val="30"/>
        </w:rPr>
      </w:r>
      <w:r/>
    </w:p>
    <w:p>
      <w:pPr>
        <w:pStyle w:val="860"/>
        <w:ind w:firstLine="480"/>
        <w:rPr>
          <w:rFonts w:hint="eastAsia" w:ascii="宋体" w:hAnsi="宋体"/>
          <w:sz w:val="24"/>
          <w:szCs w:val="24"/>
        </w:rPr>
      </w:pPr>
      <w:r/>
      <w:bookmarkStart w:id="28" w:name="_Toc28359007"/>
      <w:r/>
      <w:bookmarkStart w:id="29" w:name="_Toc28359084"/>
      <w:r/>
      <w:bookmarkStart w:id="30" w:name="_Toc35393625"/>
      <w:r/>
      <w:bookmarkStart w:id="31" w:name="_Toc35393794"/>
      <w:r/>
      <w:bookmarkStart w:id="32" w:name="_Toc38985267"/>
      <w:r>
        <w:rPr>
          <w:rFonts w:hint="eastAsia" w:ascii="宋体" w:hAnsi="宋体"/>
          <w:sz w:val="24"/>
          <w:szCs w:val="24"/>
        </w:rPr>
        <w:t xml:space="preserve">2026年6月16日14时00分</w:t>
      </w:r>
      <w:r>
        <w:rPr>
          <w:rFonts w:hint="eastAsia" w:ascii="宋体" w:hAnsi="宋体"/>
          <w:sz w:val="24"/>
          <w:szCs w:val="24"/>
        </w:rPr>
        <w:t xml:space="preserve">（北京时间）。</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sz w:val="30"/>
          <w:szCs w:val="30"/>
        </w:rPr>
      </w:r>
      <w:r/>
    </w:p>
    <w:p>
      <w:pPr>
        <w:pStyle w:val="860"/>
        <w:ind w:firstLine="480"/>
        <w:rPr>
          <w:rFonts w:hint="eastAsia" w:ascii="宋体" w:hAnsi="宋体"/>
          <w:sz w:val="24"/>
          <w:szCs w:val="24"/>
        </w:rPr>
      </w:pPr>
      <w:r/>
      <w:bookmarkStart w:id="33" w:name="_Toc35393795"/>
      <w:r/>
      <w:bookmarkStart w:id="34" w:name="_Toc35393626"/>
      <w:r/>
      <w:bookmarkStart w:id="35" w:name="_Toc38985268"/>
      <w:r>
        <w:rPr>
          <w:rFonts w:hint="eastAsia" w:ascii="宋体" w:hAnsi="宋体"/>
          <w:sz w:val="24"/>
          <w:szCs w:val="24"/>
        </w:rPr>
        <w:t xml:space="preserve">公告期限为自本公告发布之日起3个工作日。</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六、其他补充事宜</w:t>
      </w:r>
      <w:bookmarkEnd w:id="33"/>
      <w:r/>
      <w:bookmarkEnd w:id="34"/>
      <w:r/>
      <w:bookmarkEnd w:id="35"/>
      <w:r>
        <w:rPr>
          <w:rFonts w:hint="eastAsia" w:ascii="方正黑体_GBK" w:hAnsi="方正黑体_GBK" w:eastAsia="方正黑体_GBK" w:cs="方正黑体_GBK"/>
          <w:b w:val="0"/>
          <w:bCs w:val="0"/>
          <w:sz w:val="30"/>
          <w:szCs w:val="30"/>
        </w:rPr>
      </w:r>
      <w:r/>
    </w:p>
    <w:p>
      <w:pPr>
        <w:pStyle w:val="860"/>
        <w:ind w:firstLine="480"/>
        <w:tabs>
          <w:tab w:val="left" w:pos="900" w:leader="none"/>
        </w:tabs>
        <w:rPr>
          <w:rFonts w:hint="eastAsia" w:ascii="宋体" w:hAnsi="宋体"/>
          <w:bCs/>
          <w:sz w:val="24"/>
          <w:szCs w:val="24"/>
        </w:rPr>
      </w:pPr>
      <w:r/>
      <w:bookmarkStart w:id="36" w:name="_Toc35393796"/>
      <w:r/>
      <w:bookmarkStart w:id="37" w:name="_Toc38985269"/>
      <w:r/>
      <w:bookmarkStart w:id="38" w:name="_Toc35393627"/>
      <w:r/>
      <w:bookmarkStart w:id="39" w:name="_Toc28359008"/>
      <w:r/>
      <w:bookmarkStart w:id="40" w:name="_Toc28359085"/>
      <w:r>
        <w:rPr>
          <w:rFonts w:hint="eastAsia" w:ascii="宋体" w:hAnsi="宋体" w:cs="宋体"/>
          <w:sz w:val="24"/>
          <w:szCs w:val="24"/>
        </w:rPr>
        <w:t xml:space="preserve">1.</w:t>
      </w:r>
      <w:r>
        <w:rPr>
          <w:rFonts w:hint="eastAsia" w:ascii="宋体" w:hAnsi="宋体"/>
          <w:bCs/>
          <w:sz w:val="24"/>
          <w:szCs w:val="24"/>
        </w:rPr>
        <w:t xml:space="preserve">本次谈判不收取谈判保证金。</w:t>
      </w:r>
      <w:r/>
    </w:p>
    <w:p>
      <w:pPr>
        <w:pStyle w:val="860"/>
        <w:ind w:firstLine="480"/>
        <w:tabs>
          <w:tab w:val="left" w:pos="900"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本项目不组织勘察及答疑，供应商如对采购需求有疑问，请咨询采购单位联系人。 </w:t>
      </w:r>
      <w:r/>
    </w:p>
    <w:p>
      <w:pPr>
        <w:pStyle w:val="860"/>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pStyle w:val="860"/>
        <w:ind w:firstLine="480"/>
        <w:rPr>
          <w:rFonts w:hint="eastAsia" w:ascii="宋体" w:hAnsi="宋体" w:cs="宋体"/>
          <w:sz w:val="24"/>
          <w:szCs w:val="24"/>
        </w:rPr>
      </w:pPr>
      <w:r>
        <w:rPr>
          <w:rFonts w:hint="eastAsia" w:ascii="宋体" w:hAnsi="宋体" w:cs="宋体"/>
          <w:sz w:val="24"/>
          <w:szCs w:val="24"/>
        </w:rPr>
        <w:t xml:space="preserve">4.有关本次谈判的事项若存在变动或修改，请及时关注“江苏政府采购网”（www.ccgp-jiangsu.gov.cn）更正公告。</w:t>
      </w:r>
      <w:r/>
    </w:p>
    <w:p>
      <w:pPr>
        <w:pStyle w:val="860"/>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w:t>
      </w:r>
      <w:r>
        <w:rPr>
          <w:rFonts w:hint="eastAsia" w:ascii="宋体" w:hAnsi="宋体"/>
          <w:b/>
          <w:bCs/>
          <w:sz w:val="24"/>
        </w:rPr>
        <w:t xml:space="preserve">成交</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0"/>
        <w:ind w:firstLine="480"/>
        <w:spacing w:line="252" w:lineRule="auto"/>
        <w:rPr>
          <w:rFonts w:ascii="宋体" w:hAnsi="宋体"/>
          <w:sz w:val="24"/>
        </w:rPr>
      </w:pPr>
      <w:r>
        <w:rPr>
          <w:rFonts w:hint="eastAsia" w:ascii="宋体" w:hAnsi="宋体"/>
          <w:sz w:val="24"/>
        </w:rPr>
        <w:t xml:space="preserve">采购人《质疑函》收件人：</w:t>
      </w:r>
      <w:r>
        <w:rPr>
          <w:rFonts w:ascii="宋体" w:hAnsi="宋体"/>
          <w:sz w:val="24"/>
          <w:szCs w:val="24"/>
        </w:rPr>
        <w:t xml:space="preserve">宋工</w:t>
      </w:r>
      <w:r>
        <w:rPr>
          <w:rFonts w:hint="eastAsia" w:ascii="宋体" w:hAnsi="宋体"/>
          <w:sz w:val="24"/>
        </w:rPr>
        <w:t xml:space="preserve">，收件地址：</w:t>
      </w:r>
      <w:r>
        <w:rPr>
          <w:rFonts w:ascii="宋体" w:hAnsi="宋体"/>
          <w:sz w:val="24"/>
          <w:szCs w:val="24"/>
        </w:rPr>
        <w:t xml:space="preserve">南京市江宁区秣周东路9号</w:t>
      </w:r>
      <w:r>
        <w:rPr>
          <w:rFonts w:hint="eastAsia" w:ascii="宋体" w:hAnsi="宋体" w:cs="宋体"/>
          <w:sz w:val="24"/>
          <w:szCs w:val="24"/>
        </w:rPr>
        <w:t xml:space="preserve">，</w:t>
      </w:r>
      <w:r>
        <w:rPr>
          <w:rFonts w:hint="eastAsia" w:ascii="宋体" w:hAnsi="宋体"/>
          <w:sz w:val="24"/>
        </w:rPr>
        <w:t xml:space="preserve">联系</w:t>
      </w:r>
      <w:r>
        <w:rPr>
          <w:rFonts w:hint="eastAsia" w:ascii="宋体" w:hAnsi="宋体"/>
          <w:sz w:val="24"/>
        </w:rPr>
        <w:t xml:space="preserve">电话：</w:t>
      </w:r>
      <w:r>
        <w:rPr>
          <w:rFonts w:ascii="宋体" w:hAnsi="宋体"/>
          <w:sz w:val="24"/>
          <w:szCs w:val="24"/>
        </w:rPr>
        <w:t xml:space="preserve">025-57917091</w:t>
      </w:r>
      <w:r>
        <w:rPr>
          <w:rFonts w:hint="eastAsia" w:ascii="宋体" w:hAnsi="宋体"/>
          <w:sz w:val="24"/>
        </w:rPr>
        <w:t xml:space="preserve">。</w:t>
      </w:r>
      <w:r>
        <w:rPr>
          <w:rFonts w:ascii="宋体" w:hAnsi="宋体"/>
          <w:sz w:val="24"/>
        </w:rPr>
      </w:r>
      <w:r/>
    </w:p>
    <w:p>
      <w:pPr>
        <w:pStyle w:val="860"/>
        <w:ind w:firstLine="480"/>
        <w:spacing w:line="252"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lang w:val="zh-CN"/>
        </w:rPr>
        <w:t xml:space="preserve">建邺区</w:t>
      </w:r>
      <w:r>
        <w:rPr>
          <w:rFonts w:hint="eastAsia" w:ascii="宋体" w:hAnsi="宋体"/>
          <w:sz w:val="24"/>
          <w:lang w:val="zh-CN"/>
        </w:rPr>
        <w:t xml:space="preserve">江东中路265号南京市公共资源交易中心北门，联系电话：025-68505926。</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七、本次谈判联系方式</w:t>
      </w:r>
      <w:bookmarkEnd w:id="36"/>
      <w:r/>
      <w:bookmarkEnd w:id="37"/>
      <w:r/>
      <w:bookmarkEnd w:id="38"/>
      <w:r/>
      <w:bookmarkEnd w:id="39"/>
      <w:r/>
      <w:bookmarkEnd w:id="40"/>
      <w:r>
        <w:rPr>
          <w:rFonts w:hint="eastAsia" w:ascii="方正黑体_GBK" w:hAnsi="方正黑体_GBK" w:eastAsia="方正黑体_GBK" w:cs="方正黑体_GBK"/>
          <w:b w:val="0"/>
          <w:bCs w:val="0"/>
          <w:sz w:val="30"/>
          <w:szCs w:val="30"/>
        </w:rPr>
      </w:r>
      <w:r/>
    </w:p>
    <w:p>
      <w:pPr>
        <w:pStyle w:val="860"/>
        <w:ind w:firstLine="480"/>
        <w:rPr>
          <w:rFonts w:hint="eastAsia" w:ascii="宋体" w:hAnsi="宋体"/>
          <w:sz w:val="24"/>
          <w:szCs w:val="24"/>
        </w:rPr>
      </w:pPr>
      <w:r>
        <w:rPr>
          <w:rFonts w:hint="eastAsia" w:ascii="宋体" w:hAnsi="宋体"/>
          <w:sz w:val="24"/>
          <w:szCs w:val="24"/>
        </w:rPr>
        <w:t xml:space="preserve">1.采购人</w:t>
      </w:r>
      <w:r/>
    </w:p>
    <w:p>
      <w:pPr>
        <w:pStyle w:val="860"/>
        <w:ind w:firstLine="480"/>
        <w:rPr>
          <w:rFonts w:ascii="宋体" w:hAnsi="宋体"/>
          <w:sz w:val="24"/>
          <w:szCs w:val="24"/>
        </w:rPr>
      </w:pPr>
      <w:r/>
      <w:bookmarkStart w:id="41" w:name="_Toc28359009"/>
      <w:r/>
      <w:bookmarkStart w:id="42" w:name="_Toc28359086"/>
      <w:r>
        <w:rPr>
          <w:rFonts w:ascii="宋体" w:hAnsi="宋体"/>
          <w:sz w:val="24"/>
          <w:szCs w:val="24"/>
        </w:rPr>
        <w:t xml:space="preserve">名  称：紫金山实验室         </w:t>
      </w:r>
      <w:r/>
    </w:p>
    <w:p>
      <w:pPr>
        <w:pStyle w:val="860"/>
        <w:ind w:firstLine="480"/>
        <w:rPr>
          <w:rFonts w:ascii="宋体" w:hAnsi="宋体"/>
          <w:sz w:val="24"/>
          <w:szCs w:val="24"/>
        </w:rPr>
      </w:pPr>
      <w:r>
        <w:rPr>
          <w:rFonts w:ascii="宋体" w:hAnsi="宋体"/>
          <w:sz w:val="24"/>
          <w:szCs w:val="24"/>
        </w:rPr>
        <w:t xml:space="preserve">地  址：南京市江宁区秣周东路9号      </w:t>
      </w:r>
      <w:r/>
    </w:p>
    <w:p>
      <w:pPr>
        <w:pStyle w:val="860"/>
        <w:ind w:firstLine="480"/>
        <w:rPr>
          <w:rFonts w:ascii="宋体" w:hAnsi="宋体"/>
          <w:sz w:val="24"/>
          <w:szCs w:val="24"/>
        </w:rPr>
      </w:pPr>
      <w:r>
        <w:rPr>
          <w:rFonts w:ascii="宋体" w:hAnsi="宋体"/>
          <w:sz w:val="24"/>
          <w:szCs w:val="24"/>
        </w:rPr>
        <w:t xml:space="preserve">联系人：宋工    </w:t>
      </w:r>
      <w:r/>
    </w:p>
    <w:p>
      <w:pPr>
        <w:pStyle w:val="860"/>
        <w:ind w:firstLine="480"/>
        <w:rPr>
          <w:rFonts w:ascii="宋体" w:hAnsi="宋体"/>
          <w:sz w:val="24"/>
          <w:szCs w:val="24"/>
        </w:rPr>
      </w:pPr>
      <w:r>
        <w:rPr>
          <w:rFonts w:ascii="宋体" w:hAnsi="宋体"/>
          <w:sz w:val="24"/>
          <w:szCs w:val="24"/>
        </w:rPr>
        <w:t xml:space="preserve">联系电话：025-57917091 </w:t>
      </w:r>
      <w:r/>
    </w:p>
    <w:p>
      <w:pPr>
        <w:pStyle w:val="860"/>
        <w:ind w:firstLine="480"/>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t xml:space="preserve">   </w:t>
      </w:r>
      <w:r/>
    </w:p>
    <w:p>
      <w:pPr>
        <w:pStyle w:val="860"/>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 </w:t>
      </w:r>
      <w:r>
        <w:rPr>
          <w:rFonts w:hint="eastAsia" w:ascii="宋体" w:hAnsi="宋体"/>
          <w:sz w:val="24"/>
          <w:szCs w:val="24"/>
        </w:rPr>
      </w:r>
      <w:r/>
    </w:p>
    <w:p>
      <w:pPr>
        <w:pStyle w:val="860"/>
        <w:ind w:firstLine="480"/>
        <w:spacing w:line="252" w:lineRule="auto"/>
        <w:rPr>
          <w:rFonts w:hint="eastAsia"/>
        </w:rPr>
      </w:pPr>
      <w:r>
        <w:rPr>
          <w:rFonts w:hint="eastAsia" w:ascii="宋体" w:hAnsi="宋体"/>
          <w:sz w:val="24"/>
          <w:szCs w:val="24"/>
        </w:rPr>
        <w:t xml:space="preserve">联系电话：</w:t>
      </w:r>
      <w:r>
        <w:rPr>
          <w:rFonts w:hint="eastAsia" w:ascii="宋体" w:hAnsi="宋体"/>
          <w:sz w:val="24"/>
          <w:szCs w:val="24"/>
        </w:rPr>
        <w:t xml:space="preserve">025-68505735 </w:t>
      </w:r>
      <w:r>
        <w:rPr>
          <w:rFonts w:hint="eastAsia"/>
        </w:rPr>
      </w:r>
      <w:r/>
    </w:p>
    <w:p>
      <w:pPr>
        <w:pStyle w:val="860"/>
        <w:ind w:right="840"/>
        <w:jc w:val="center"/>
        <w:rPr>
          <w:rFonts w:hint="eastAsia" w:ascii="方正小标宋简体" w:hAnsi="方正小标宋简体" w:eastAsia="方正小标宋简体" w:cs="方正小标宋简体"/>
          <w:sz w:val="36"/>
          <w:szCs w:val="36"/>
        </w:rPr>
        <w:outlineLvl w:val="0"/>
      </w:pPr>
      <w:r/>
      <w:bookmarkStart w:id="43" w:name="_Toc120614211"/>
      <w:r>
        <w:rPr>
          <w:rFonts w:hint="eastAsia" w:ascii="方正小标宋简体" w:hAnsi="方正小标宋简体" w:eastAsia="方正小标宋简体" w:cs="方正小标宋简体"/>
          <w:sz w:val="36"/>
          <w:szCs w:val="36"/>
        </w:rPr>
        <w:br w:type="page" w:clear="all"/>
        <w:t xml:space="preserve">第二章  </w:t>
      </w:r>
      <w:bookmarkEnd w:id="1"/>
      <w:r/>
      <w:bookmarkEnd w:id="2"/>
      <w:r/>
      <w:bookmarkEnd w:id="3"/>
      <w:r/>
      <w:bookmarkEnd w:id="4"/>
      <w:r/>
      <w:bookmarkEnd w:id="5"/>
      <w:r/>
      <w:bookmarkEnd w:id="43"/>
      <w:r>
        <w:rPr>
          <w:rFonts w:hint="eastAsia" w:ascii="方正小标宋简体" w:hAnsi="方正小标宋简体" w:eastAsia="方正小标宋简体" w:cs="方正小标宋简体"/>
          <w:sz w:val="36"/>
          <w:szCs w:val="36"/>
        </w:rPr>
        <w:t xml:space="preserve">供应</w:t>
      </w:r>
      <w:r>
        <w:rPr>
          <w:rFonts w:hint="eastAsia" w:ascii="方正小标宋简体" w:hAnsi="方正小标宋简体" w:eastAsia="方正小标宋简体" w:cs="方正小标宋简体"/>
          <w:sz w:val="36"/>
          <w:szCs w:val="36"/>
        </w:rPr>
        <w:t xml:space="preserve">商须知</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44" w:name="_Toc20823275"/>
      <w:r/>
      <w:bookmarkStart w:id="45" w:name="_Toc16938519"/>
      <w:r/>
      <w:bookmarkStart w:id="46" w:name="_Toc513029203"/>
      <w:r/>
      <w:bookmarkStart w:id="47" w:name="_Toc120614214"/>
      <w:r>
        <w:rPr>
          <w:rFonts w:hint="eastAsia" w:ascii="方正黑体_GBK" w:hAnsi="方正黑体_GBK" w:eastAsia="方正黑体_GBK" w:cs="方正黑体_GBK"/>
          <w:b w:val="0"/>
          <w:bCs w:val="0"/>
          <w:sz w:val="30"/>
          <w:szCs w:val="30"/>
        </w:rPr>
        <w:t xml:space="preserve">一、总则</w:t>
      </w:r>
      <w:bookmarkEnd w:id="44"/>
      <w:r/>
      <w:bookmarkEnd w:id="45"/>
      <w:r/>
      <w:bookmarkEnd w:id="46"/>
      <w:r/>
      <w:bookmarkEnd w:id="47"/>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48" w:name="_Hlt16619475"/>
      <w:r/>
      <w:bookmarkEnd w:id="48"/>
      <w:r/>
      <w:bookmarkStart w:id="49" w:name="_Toc458694821"/>
      <w:r/>
      <w:bookmarkStart w:id="50" w:name="_Toc513029204"/>
      <w:r/>
      <w:bookmarkStart w:id="51" w:name="_Toc20823276"/>
      <w:r/>
      <w:bookmarkStart w:id="52" w:name="_Toc16938520"/>
      <w:r>
        <w:rPr>
          <w:rFonts w:hint="eastAsia" w:ascii="方正楷体_GBK" w:hAnsi="方正楷体_GBK" w:eastAsia="方正楷体_GBK" w:cs="方正楷体_GBK"/>
        </w:rPr>
        <w:t xml:space="preserve">1</w:t>
      </w:r>
      <w:bookmarkEnd w:id="49"/>
      <w:r>
        <w:rPr>
          <w:rFonts w:hint="eastAsia" w:ascii="方正楷体_GBK" w:hAnsi="方正楷体_GBK" w:eastAsia="方正楷体_GBK" w:cs="方正楷体_GBK"/>
        </w:rPr>
        <w:t xml:space="preserve">.采购方式</w:t>
      </w:r>
      <w:bookmarkEnd w:id="50"/>
      <w:r/>
      <w:bookmarkEnd w:id="51"/>
      <w:r/>
      <w:bookmarkEnd w:id="52"/>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1.1 本次政府采购活动采取竞争性谈判</w:t>
      </w:r>
      <w:r>
        <w:rPr>
          <w:rFonts w:hint="eastAsia" w:ascii="宋体" w:hAnsi="宋体"/>
          <w:sz w:val="24"/>
          <w:szCs w:val="21"/>
        </w:rPr>
        <w:t xml:space="preserve">(以下简称“谈判”)</w:t>
      </w:r>
      <w:r>
        <w:rPr>
          <w:rFonts w:hint="eastAsia" w:ascii="宋体" w:hAnsi="宋体"/>
          <w:sz w:val="24"/>
        </w:rPr>
        <w:t xml:space="preserve">方式，本文件仅适用于采购公告中所述项目。</w:t>
      </w:r>
      <w:r/>
    </w:p>
    <w:p>
      <w:pPr>
        <w:pStyle w:val="864"/>
        <w:ind w:firstLine="422"/>
        <w:spacing w:before="0" w:after="0" w:line="240" w:lineRule="auto"/>
        <w:rPr>
          <w:rFonts w:hint="eastAsia" w:ascii="方正楷体_GBK" w:hAnsi="方正楷体_GBK" w:eastAsia="方正楷体_GBK" w:cs="方正楷体_GBK"/>
        </w:rPr>
      </w:pPr>
      <w:r/>
      <w:bookmarkStart w:id="53" w:name="_Toc16938521"/>
      <w:r/>
      <w:bookmarkStart w:id="54" w:name="_Toc513029205"/>
      <w:r/>
      <w:bookmarkStart w:id="55" w:name="_Toc20823277"/>
      <w:r>
        <w:rPr>
          <w:rFonts w:hint="eastAsia" w:ascii="方正楷体_GBK" w:hAnsi="方正楷体_GBK" w:eastAsia="方正楷体_GBK" w:cs="方正楷体_GBK"/>
        </w:rPr>
        <w:t xml:space="preserve">2.合格的</w:t>
      </w:r>
      <w:bookmarkEnd w:id="53"/>
      <w:r/>
      <w:bookmarkEnd w:id="54"/>
      <w:r/>
      <w:bookmarkEnd w:id="55"/>
      <w:r>
        <w:rPr>
          <w:rFonts w:hint="eastAsia" w:ascii="方正楷体_GBK" w:hAnsi="方正楷体_GBK" w:eastAsia="方正楷体_GBK" w:cs="方正楷体_GBK"/>
        </w:rPr>
        <w:t xml:space="preserve">供应商</w:t>
      </w:r>
      <w:r/>
    </w:p>
    <w:p>
      <w:pPr>
        <w:pStyle w:val="860"/>
        <w:ind w:firstLine="420"/>
        <w:rPr>
          <w:rFonts w:hint="eastAsia" w:ascii="宋体" w:hAnsi="宋体"/>
          <w:sz w:val="24"/>
        </w:rPr>
      </w:pPr>
      <w:r>
        <w:rPr>
          <w:rFonts w:hint="eastAsia" w:ascii="宋体" w:hAnsi="宋体"/>
          <w:sz w:val="24"/>
        </w:rPr>
        <w:t xml:space="preserve">2.1 满足采购公告对供应商资格要求的规定。</w:t>
      </w:r>
      <w:r/>
    </w:p>
    <w:p>
      <w:pPr>
        <w:pStyle w:val="860"/>
        <w:ind w:firstLine="420"/>
        <w:rPr>
          <w:rFonts w:hint="eastAsia" w:ascii="宋体" w:hAnsi="宋体"/>
          <w:sz w:val="24"/>
        </w:rPr>
      </w:pPr>
      <w:r>
        <w:rPr>
          <w:rFonts w:hint="eastAsia" w:ascii="宋体" w:hAnsi="宋体"/>
          <w:sz w:val="24"/>
        </w:rPr>
        <w:t xml:space="preserve">2.2 满足谈判文件规定的实质性要求和条件。</w:t>
      </w:r>
      <w:r/>
    </w:p>
    <w:p>
      <w:pPr>
        <w:pStyle w:val="864"/>
        <w:ind w:firstLine="422"/>
        <w:spacing w:before="0" w:after="0" w:line="240" w:lineRule="auto"/>
        <w:rPr>
          <w:rFonts w:hint="eastAsia" w:ascii="方正楷体_GBK" w:hAnsi="方正楷体_GBK" w:eastAsia="方正楷体_GBK" w:cs="方正楷体_GBK"/>
        </w:rPr>
      </w:pPr>
      <w:r/>
      <w:bookmarkStart w:id="56" w:name="_Toc20823278"/>
      <w:r/>
      <w:bookmarkStart w:id="57" w:name="_Toc16938522"/>
      <w:r/>
      <w:bookmarkStart w:id="58" w:name="_Toc513029206"/>
      <w:r>
        <w:rPr>
          <w:rFonts w:hint="eastAsia" w:ascii="方正楷体_GBK" w:hAnsi="方正楷体_GBK" w:eastAsia="方正楷体_GBK" w:cs="方正楷体_GBK"/>
        </w:rPr>
        <w:t xml:space="preserve">3.适用法律</w:t>
      </w:r>
      <w:bookmarkEnd w:id="56"/>
      <w:r/>
      <w:bookmarkEnd w:id="57"/>
      <w:r/>
      <w:bookmarkEnd w:id="58"/>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3.1 本次采购及由此产生的合同受中华人民共和国有关的法律法规制约和保护。</w:t>
      </w:r>
      <w:r/>
    </w:p>
    <w:p>
      <w:pPr>
        <w:pStyle w:val="864"/>
        <w:ind w:firstLine="422"/>
        <w:spacing w:before="0" w:after="0" w:line="240" w:lineRule="auto"/>
        <w:rPr>
          <w:rFonts w:hint="eastAsia" w:ascii="方正楷体_GBK" w:hAnsi="方正楷体_GBK" w:eastAsia="方正楷体_GBK" w:cs="方正楷体_GBK"/>
        </w:rPr>
      </w:pPr>
      <w:r/>
      <w:bookmarkStart w:id="59" w:name="_Toc16938523"/>
      <w:r/>
      <w:bookmarkStart w:id="60" w:name="_Toc513029207"/>
      <w:r/>
      <w:bookmarkStart w:id="61" w:name="_Toc462564067"/>
      <w:r/>
      <w:bookmarkStart w:id="62" w:name="_Toc20823279"/>
      <w:r>
        <w:rPr>
          <w:rFonts w:hint="eastAsia" w:ascii="方正楷体_GBK" w:hAnsi="方正楷体_GBK" w:eastAsia="方正楷体_GBK" w:cs="方正楷体_GBK"/>
        </w:rPr>
        <w:t xml:space="preserve">4.谈判费用</w:t>
      </w:r>
      <w:bookmarkEnd w:id="59"/>
      <w:r/>
      <w:bookmarkEnd w:id="60"/>
      <w:r/>
      <w:bookmarkEnd w:id="61"/>
      <w:r/>
      <w:bookmarkEnd w:id="62"/>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4.1 供应商应自行承担所有与参加本次采购有关的费用，无论采购过程中的做法和结果如何，交易中心在任何情况下均无义务和责任承担这些费用。</w:t>
      </w:r>
      <w:r/>
    </w:p>
    <w:p>
      <w:pPr>
        <w:pStyle w:val="860"/>
        <w:ind w:firstLine="420"/>
        <w:rPr>
          <w:rFonts w:hint="eastAsia" w:ascii="宋体" w:hAnsi="宋体"/>
          <w:sz w:val="24"/>
        </w:rPr>
      </w:pPr>
      <w:r>
        <w:rPr>
          <w:rFonts w:hint="eastAsia" w:ascii="宋体" w:hAnsi="宋体"/>
          <w:sz w:val="24"/>
        </w:rPr>
        <w:t xml:space="preserve">4.2 本次采购交易中</w:t>
      </w:r>
      <w:r>
        <w:rPr>
          <w:rFonts w:hint="eastAsia" w:ascii="宋体" w:hAnsi="宋体"/>
          <w:sz w:val="24"/>
        </w:rPr>
        <w:t xml:space="preserve">心和采购人不收取谈判文件工本费与成交服务费。</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5.谈判文件的约束力</w:t>
      </w:r>
      <w:r/>
    </w:p>
    <w:p>
      <w:pPr>
        <w:pStyle w:val="860"/>
        <w:ind w:firstLine="420"/>
        <w:rPr>
          <w:rFonts w:hint="eastAsia" w:ascii="宋体" w:hAnsi="宋体"/>
          <w:sz w:val="24"/>
        </w:rPr>
      </w:pPr>
      <w:r>
        <w:rPr>
          <w:rFonts w:hint="eastAsia" w:ascii="宋体" w:hAnsi="宋体"/>
          <w:sz w:val="24"/>
        </w:rPr>
        <w:t xml:space="preserve">5.1 供应商一旦参加本项目采购活动，即被认为接受了本文件的规定和约束。</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63" w:name="_Toc513029209"/>
      <w:r/>
      <w:bookmarkStart w:id="64" w:name="_Toc120614215"/>
      <w:r/>
      <w:bookmarkStart w:id="65" w:name="_Toc16938525"/>
      <w:r/>
      <w:bookmarkStart w:id="66" w:name="_Toc20823281"/>
      <w:r>
        <w:rPr>
          <w:rFonts w:hint="eastAsia" w:ascii="方正黑体_GBK" w:hAnsi="方正黑体_GBK" w:eastAsia="方正黑体_GBK" w:cs="方正黑体_GBK"/>
          <w:b w:val="0"/>
          <w:bCs w:val="0"/>
          <w:sz w:val="30"/>
          <w:szCs w:val="30"/>
        </w:rPr>
        <w:t xml:space="preserve">二、</w:t>
      </w:r>
      <w:bookmarkEnd w:id="63"/>
      <w:r/>
      <w:bookmarkEnd w:id="64"/>
      <w:r/>
      <w:bookmarkEnd w:id="65"/>
      <w:r/>
      <w:bookmarkEnd w:id="66"/>
      <w:r>
        <w:rPr>
          <w:rFonts w:hint="eastAsia" w:ascii="方正黑体_GBK" w:hAnsi="方正黑体_GBK" w:eastAsia="方正黑体_GBK" w:cs="方正黑体_GBK"/>
          <w:b w:val="0"/>
          <w:bCs w:val="0"/>
          <w:sz w:val="30"/>
          <w:szCs w:val="30"/>
        </w:rPr>
        <w:t xml:space="preserve">谈判文件</w:t>
      </w:r>
      <w:r/>
    </w:p>
    <w:p>
      <w:pPr>
        <w:pStyle w:val="864"/>
        <w:ind w:firstLine="422"/>
        <w:spacing w:before="0" w:after="0" w:line="240" w:lineRule="auto"/>
        <w:rPr>
          <w:rFonts w:hint="eastAsia" w:ascii="方正楷体_GBK" w:hAnsi="方正楷体_GBK" w:eastAsia="方正楷体_GBK" w:cs="方正楷体_GBK"/>
        </w:rPr>
      </w:pPr>
      <w:r/>
      <w:bookmarkStart w:id="67" w:name="_Toc16938526"/>
      <w:r/>
      <w:bookmarkStart w:id="68" w:name="_Toc20823282"/>
      <w:r/>
      <w:bookmarkStart w:id="69" w:name="_Toc513029210"/>
      <w:r>
        <w:rPr>
          <w:rFonts w:hint="eastAsia" w:ascii="方正楷体_GBK" w:hAnsi="方正楷体_GBK" w:eastAsia="方正楷体_GBK" w:cs="方正楷体_GBK"/>
        </w:rPr>
        <w:t xml:space="preserve">6.谈判文件构成</w:t>
      </w:r>
      <w:bookmarkEnd w:id="67"/>
      <w:r/>
      <w:bookmarkEnd w:id="68"/>
      <w:r/>
      <w:bookmarkEnd w:id="69"/>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6.1 谈判文件由以下部分组成：</w:t>
      </w:r>
      <w:r/>
    </w:p>
    <w:p>
      <w:pPr>
        <w:pStyle w:val="860"/>
        <w:ind w:firstLine="420"/>
        <w:rPr>
          <w:rFonts w:hint="eastAsia" w:ascii="宋体" w:hAnsi="宋体"/>
          <w:sz w:val="24"/>
        </w:rPr>
      </w:pPr>
      <w:r>
        <w:rPr>
          <w:rFonts w:hint="eastAsia" w:ascii="宋体" w:hAnsi="宋体"/>
          <w:sz w:val="24"/>
        </w:rPr>
        <w:t xml:space="preserve">（1）谈判邀请</w:t>
      </w:r>
      <w:r/>
    </w:p>
    <w:p>
      <w:pPr>
        <w:pStyle w:val="860"/>
        <w:ind w:firstLine="420"/>
        <w:rPr>
          <w:rFonts w:hint="eastAsia" w:ascii="宋体" w:hAnsi="宋体"/>
          <w:sz w:val="24"/>
        </w:rPr>
      </w:pPr>
      <w:r>
        <w:rPr>
          <w:rFonts w:hint="eastAsia" w:ascii="宋体" w:hAnsi="宋体"/>
          <w:sz w:val="24"/>
        </w:rPr>
        <w:t xml:space="preserve">（2）供应商须知</w:t>
      </w:r>
      <w:r/>
    </w:p>
    <w:p>
      <w:pPr>
        <w:pStyle w:val="860"/>
        <w:ind w:firstLine="420"/>
        <w:rPr>
          <w:rFonts w:hint="eastAsia" w:ascii="宋体" w:hAnsi="宋体"/>
          <w:sz w:val="24"/>
        </w:rPr>
      </w:pPr>
      <w:r>
        <w:rPr>
          <w:rFonts w:hint="eastAsia" w:ascii="宋体" w:hAnsi="宋体"/>
          <w:sz w:val="24"/>
        </w:rPr>
        <w:t xml:space="preserve">（3）合同文本</w:t>
      </w:r>
      <w:r/>
    </w:p>
    <w:p>
      <w:pPr>
        <w:pStyle w:val="860"/>
        <w:ind w:firstLine="420"/>
        <w:rPr>
          <w:rFonts w:hint="eastAsia" w:ascii="宋体" w:hAnsi="宋体"/>
          <w:sz w:val="24"/>
        </w:rPr>
      </w:pPr>
      <w:r>
        <w:rPr>
          <w:rFonts w:hint="eastAsia" w:ascii="宋体" w:hAnsi="宋体"/>
          <w:sz w:val="24"/>
        </w:rPr>
        <w:t xml:space="preserve">（4）采购需求</w:t>
      </w:r>
      <w:r/>
    </w:p>
    <w:p>
      <w:pPr>
        <w:pStyle w:val="860"/>
        <w:ind w:firstLine="420"/>
        <w:rPr>
          <w:rFonts w:hint="eastAsia" w:ascii="宋体" w:hAnsi="宋体"/>
          <w:sz w:val="24"/>
        </w:rPr>
      </w:pPr>
      <w:r>
        <w:rPr>
          <w:rFonts w:hint="eastAsia" w:ascii="宋体" w:hAnsi="宋体"/>
          <w:sz w:val="24"/>
        </w:rPr>
        <w:t xml:space="preserve">（5）成交标准</w:t>
      </w:r>
      <w:r/>
    </w:p>
    <w:p>
      <w:pPr>
        <w:pStyle w:val="860"/>
        <w:ind w:firstLine="420"/>
        <w:rPr>
          <w:rFonts w:hint="eastAsia" w:ascii="宋体" w:hAnsi="宋体"/>
          <w:sz w:val="24"/>
        </w:rPr>
      </w:pPr>
      <w:r>
        <w:rPr>
          <w:rFonts w:hint="eastAsia" w:ascii="宋体" w:hAnsi="宋体"/>
          <w:sz w:val="24"/>
        </w:rPr>
        <w:t xml:space="preserve">（6）响应文件格式</w:t>
      </w:r>
      <w:r/>
    </w:p>
    <w:p>
      <w:pPr>
        <w:pStyle w:val="860"/>
        <w:ind w:firstLine="420"/>
        <w:rPr>
          <w:rFonts w:hint="eastAsia" w:ascii="宋体" w:hAnsi="宋体"/>
          <w:sz w:val="24"/>
        </w:rPr>
      </w:pPr>
      <w:r>
        <w:rPr>
          <w:rFonts w:hint="eastAsia" w:ascii="宋体" w:hAnsi="宋体"/>
          <w:sz w:val="24"/>
        </w:rPr>
        <w:t xml:space="preserve">供应商应仔细检查谈判文件是否齐全，如有缺漏请立即与交易中心联系解决。</w:t>
      </w:r>
      <w:r/>
    </w:p>
    <w:p>
      <w:pPr>
        <w:pStyle w:val="860"/>
        <w:ind w:firstLine="420"/>
        <w:rPr>
          <w:rFonts w:hint="eastAsia" w:ascii="宋体" w:hAnsi="宋体"/>
          <w:sz w:val="24"/>
        </w:rPr>
      </w:pPr>
      <w:r>
        <w:rPr>
          <w:rFonts w:hint="eastAsia" w:ascii="宋体" w:hAnsi="宋体"/>
          <w:sz w:val="24"/>
        </w:rPr>
        <w:t xml:space="preserve">6.2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864"/>
        <w:ind w:firstLine="422"/>
        <w:spacing w:before="0" w:after="0" w:line="240" w:lineRule="auto"/>
        <w:rPr>
          <w:rFonts w:hint="eastAsia" w:ascii="方正楷体_GBK" w:hAnsi="方正楷体_GBK" w:eastAsia="方正楷体_GBK" w:cs="方正楷体_GBK"/>
        </w:rPr>
      </w:pPr>
      <w:r/>
      <w:bookmarkStart w:id="70" w:name="_Toc462564070"/>
      <w:r/>
      <w:bookmarkStart w:id="71" w:name="_Toc16938527"/>
      <w:r/>
      <w:bookmarkStart w:id="72" w:name="_Toc513029211"/>
      <w:r/>
      <w:bookmarkStart w:id="73" w:name="_Toc20823283"/>
      <w:r>
        <w:rPr>
          <w:rFonts w:hint="eastAsia" w:ascii="方正楷体_GBK" w:hAnsi="方正楷体_GBK" w:eastAsia="方正楷体_GBK" w:cs="方正楷体_GBK"/>
        </w:rPr>
        <w:t xml:space="preserve">7.谈判文件的澄清</w:t>
      </w:r>
      <w:bookmarkEnd w:id="70"/>
      <w:r/>
      <w:bookmarkEnd w:id="71"/>
      <w:r/>
      <w:bookmarkEnd w:id="72"/>
      <w:r/>
      <w:bookmarkEnd w:id="73"/>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7.1 任何要求对谈判文件进行澄清的供应商，应在谈判截止期五日前按采购公告中的通讯地址，以书面形式通知交易中心。</w:t>
      </w:r>
      <w:r/>
    </w:p>
    <w:p>
      <w:pPr>
        <w:pStyle w:val="864"/>
        <w:ind w:firstLine="422"/>
        <w:spacing w:before="0" w:after="0" w:line="240" w:lineRule="auto"/>
        <w:rPr>
          <w:rFonts w:hint="eastAsia" w:ascii="方正楷体_GBK" w:hAnsi="方正楷体_GBK" w:eastAsia="方正楷体_GBK" w:cs="方正楷体_GBK"/>
        </w:rPr>
      </w:pPr>
      <w:r/>
      <w:bookmarkStart w:id="74" w:name="_Toc20823284"/>
      <w:r/>
      <w:bookmarkStart w:id="75" w:name="_Toc462564071"/>
      <w:r/>
      <w:bookmarkStart w:id="76" w:name="_Toc513029212"/>
      <w:r/>
      <w:bookmarkStart w:id="77" w:name="_Toc16938528"/>
      <w:r>
        <w:rPr>
          <w:rFonts w:hint="eastAsia" w:ascii="方正楷体_GBK" w:hAnsi="方正楷体_GBK" w:eastAsia="方正楷体_GBK" w:cs="方正楷体_GBK"/>
        </w:rPr>
        <w:t xml:space="preserve">8.谈判文件的修改</w:t>
      </w:r>
      <w:bookmarkEnd w:id="74"/>
      <w:r/>
      <w:bookmarkEnd w:id="75"/>
      <w:r/>
      <w:bookmarkEnd w:id="76"/>
      <w:r/>
      <w:bookmarkEnd w:id="77"/>
      <w:r>
        <w:rPr>
          <w:rFonts w:hint="eastAsia" w:ascii="方正楷体_GBK" w:hAnsi="方正楷体_GBK" w:eastAsia="方正楷体_GBK" w:cs="方正楷体_GBK"/>
        </w:rPr>
      </w:r>
      <w:r/>
    </w:p>
    <w:p>
      <w:pPr>
        <w:pStyle w:val="860"/>
        <w:ind w:firstLine="420"/>
        <w:rPr>
          <w:rFonts w:hint="eastAsia" w:ascii="宋体" w:hAnsi="宋体"/>
          <w:sz w:val="24"/>
        </w:rPr>
      </w:pPr>
      <w:r/>
      <w:bookmarkStart w:id="78" w:name="_Toc513029213"/>
      <w:r/>
      <w:bookmarkStart w:id="79" w:name="_Toc462564072"/>
      <w:r/>
      <w:bookmarkStart w:id="80" w:name="_Toc16938529"/>
      <w:r/>
      <w:bookmarkStart w:id="81" w:name="_Toc20823285"/>
      <w:r/>
      <w:bookmarkStart w:id="82" w:name="_Toc120614216"/>
      <w:r>
        <w:rPr>
          <w:rFonts w:hint="eastAsia" w:ascii="宋体" w:hAnsi="宋体"/>
          <w:sz w:val="24"/>
        </w:rPr>
        <w:t xml:space="preserve">8.1 在响应文件提交截止时间前，交易中心可以对谈判文件进行修改。谈判文件的修改将在原公告媒体发布更正公告，更正内容将作为谈判文件的组成部分，并对供应商具有约束力。</w:t>
      </w:r>
      <w:r/>
    </w:p>
    <w:p>
      <w:pPr>
        <w:pStyle w:val="860"/>
        <w:ind w:firstLine="420"/>
        <w:rPr>
          <w:rFonts w:hint="eastAsia" w:ascii="宋体" w:hAnsi="宋体"/>
          <w:sz w:val="24"/>
        </w:rPr>
      </w:pPr>
      <w:r>
        <w:rPr>
          <w:rFonts w:hint="eastAsia" w:ascii="宋体" w:hAnsi="宋体"/>
          <w:sz w:val="24"/>
        </w:rPr>
        <w:t xml:space="preserve">8.2 供应商应在提交响应文件截止时间前，关注原公告媒体有关本项目的更正公告，根据更正公告内容自行决定是否需要重新制作</w:t>
      </w:r>
      <w:r>
        <w:rPr>
          <w:rFonts w:hint="eastAsia" w:ascii="宋体" w:hAnsi="宋体"/>
          <w:sz w:val="24"/>
        </w:rPr>
        <w:t xml:space="preserve">和提交响应文件，并承担由此产生的相应责任。</w:t>
      </w:r>
      <w:r/>
    </w:p>
    <w:p>
      <w:pPr>
        <w:pStyle w:val="860"/>
        <w:ind w:firstLine="420"/>
        <w:rPr>
          <w:rFonts w:hint="eastAsia" w:ascii="宋体" w:hAnsi="宋体"/>
          <w:sz w:val="24"/>
        </w:rPr>
      </w:pPr>
      <w:r>
        <w:rPr>
          <w:rFonts w:hint="eastAsia" w:ascii="宋体" w:hAnsi="宋体"/>
          <w:sz w:val="24"/>
        </w:rPr>
        <w:t xml:space="preserve">8.3 交易中心有权按照法定要求推迟提交响应文件截止时间，并在原公告媒体发布更正公告。</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78"/>
      <w:r/>
      <w:bookmarkEnd w:id="79"/>
      <w:r/>
      <w:bookmarkEnd w:id="80"/>
      <w:r/>
      <w:bookmarkEnd w:id="81"/>
      <w:r/>
      <w:bookmarkEnd w:id="82"/>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83" w:name="_Toc513029214"/>
      <w:r/>
      <w:bookmarkStart w:id="84" w:name="_Toc20823286"/>
      <w:r/>
      <w:bookmarkStart w:id="85" w:name="_Toc462564073"/>
      <w:r/>
      <w:bookmarkStart w:id="86" w:name="_Toc16938530"/>
      <w:r>
        <w:rPr>
          <w:rFonts w:hint="eastAsia" w:ascii="方正楷体_GBK" w:hAnsi="方正楷体_GBK" w:eastAsia="方正楷体_GBK" w:cs="方正楷体_GBK"/>
        </w:rPr>
        <w:t xml:space="preserve">9.响应文件的语言及度量衡单位</w:t>
      </w:r>
      <w:bookmarkEnd w:id="83"/>
      <w:r/>
      <w:bookmarkEnd w:id="84"/>
      <w:r/>
      <w:bookmarkEnd w:id="85"/>
      <w:r/>
      <w:bookmarkEnd w:id="86"/>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9.1 供应商提交的响应文件以及供应商与交易中心就有关谈判的所有来往通知、函件和文件均应使用简体中文。</w:t>
      </w:r>
      <w:r/>
    </w:p>
    <w:p>
      <w:pPr>
        <w:pStyle w:val="860"/>
        <w:ind w:firstLine="420"/>
        <w:rPr>
          <w:rFonts w:hint="eastAsia" w:ascii="宋体" w:hAnsi="宋体"/>
          <w:sz w:val="24"/>
        </w:rPr>
      </w:pPr>
      <w:r>
        <w:rPr>
          <w:rFonts w:hint="eastAsia" w:ascii="宋体" w:hAnsi="宋体"/>
          <w:sz w:val="24"/>
        </w:rPr>
        <w:t xml:space="preserve">9.2 除技术性能另有规定外，响应文件所使用的度量衡单位，均须采用国家法定计量单位。</w:t>
      </w:r>
      <w:r/>
    </w:p>
    <w:p>
      <w:pPr>
        <w:pStyle w:val="864"/>
        <w:ind w:firstLine="422"/>
        <w:spacing w:before="0" w:after="0" w:line="240" w:lineRule="auto"/>
        <w:rPr>
          <w:rFonts w:hint="eastAsia" w:ascii="方正楷体_GBK" w:hAnsi="方正楷体_GBK" w:eastAsia="方正楷体_GBK" w:cs="方正楷体_GBK"/>
        </w:rPr>
      </w:pPr>
      <w:r/>
      <w:bookmarkStart w:id="87" w:name="_Toc462564074"/>
      <w:r/>
      <w:bookmarkStart w:id="88" w:name="_Toc20823287"/>
      <w:r/>
      <w:bookmarkStart w:id="89" w:name="_Toc16938531"/>
      <w:r/>
      <w:bookmarkStart w:id="90" w:name="_Toc513029215"/>
      <w:r>
        <w:rPr>
          <w:rFonts w:hint="eastAsia" w:ascii="方正楷体_GBK" w:hAnsi="方正楷体_GBK" w:eastAsia="方正楷体_GBK" w:cs="方正楷体_GBK"/>
        </w:rPr>
        <w:t xml:space="preserve">10.响应文件构成</w:t>
      </w:r>
      <w:bookmarkEnd w:id="87"/>
      <w:r/>
      <w:bookmarkEnd w:id="88"/>
      <w:r/>
      <w:bookmarkEnd w:id="89"/>
      <w:r/>
      <w:bookmarkEnd w:id="90"/>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10.1 供应商编写的响应文件应包括资格证明文件、符合性证明文件、分项报价表、响应及偏离表、其他证明文件、谈判响应函等部分。</w:t>
      </w:r>
      <w:r/>
    </w:p>
    <w:p>
      <w:pPr>
        <w:pStyle w:val="860"/>
        <w:ind w:firstLine="420"/>
        <w:rPr>
          <w:rFonts w:hint="eastAsia" w:ascii="宋体" w:hAnsi="宋体"/>
          <w:sz w:val="24"/>
        </w:rPr>
      </w:pPr>
      <w:r>
        <w:rPr>
          <w:rFonts w:hint="eastAsia" w:ascii="宋体" w:hAnsi="宋体"/>
          <w:sz w:val="24"/>
        </w:rPr>
        <w:t xml:space="preserve">10.2 如标书制作工具中格式和内容与“江苏政府采购网”发布的谈判文件不一致，以“江苏政府采购网”发布的谈判文件为准。</w:t>
      </w:r>
      <w:r/>
    </w:p>
    <w:p>
      <w:pPr>
        <w:pStyle w:val="864"/>
        <w:ind w:firstLine="422"/>
        <w:spacing w:before="0" w:after="0" w:line="240" w:lineRule="auto"/>
        <w:rPr>
          <w:rFonts w:hint="eastAsia" w:ascii="方正楷体_GBK" w:hAnsi="方正楷体_GBK" w:eastAsia="方正楷体_GBK" w:cs="方正楷体_GBK"/>
        </w:rPr>
      </w:pPr>
      <w:r/>
      <w:bookmarkStart w:id="91" w:name="_Hlt26668975"/>
      <w:r/>
      <w:bookmarkEnd w:id="91"/>
      <w:r/>
      <w:bookmarkStart w:id="92" w:name="_Hlt26670360"/>
      <w:r/>
      <w:bookmarkEnd w:id="92"/>
      <w:r/>
      <w:bookmarkStart w:id="93" w:name="_Hlt26954838"/>
      <w:r/>
      <w:bookmarkEnd w:id="93"/>
      <w:r/>
      <w:bookmarkStart w:id="94" w:name="_Toc513029219"/>
      <w:r/>
      <w:bookmarkStart w:id="95" w:name="_Toc14577357"/>
      <w:r/>
      <w:bookmarkStart w:id="96" w:name="_Toc49090509"/>
      <w:r/>
      <w:bookmarkStart w:id="97" w:name="_Toc49090507"/>
      <w:r/>
      <w:bookmarkStart w:id="98" w:name="_Toc513029216"/>
      <w:r/>
      <w:bookmarkStart w:id="99" w:name="_Toc14577354"/>
      <w:r/>
      <w:bookmarkStart w:id="100" w:name="_Toc14577355"/>
      <w:r/>
      <w:bookmarkStart w:id="101" w:name="_Toc49090508"/>
      <w:r>
        <w:rPr>
          <w:rFonts w:hint="eastAsia" w:ascii="方正楷体_GBK" w:hAnsi="方正楷体_GBK" w:eastAsia="方正楷体_GBK" w:cs="方正楷体_GBK"/>
        </w:rPr>
        <w:t xml:space="preserve">11.证明谈判响应标的符合谈判文件规定的文件</w:t>
      </w:r>
      <w:bookmarkEnd w:id="94"/>
      <w:r/>
      <w:bookmarkEnd w:id="95"/>
      <w:r/>
      <w:bookmarkEnd w:id="96"/>
      <w:r>
        <w:rPr>
          <w:rFonts w:hint="eastAsia" w:ascii="方正楷体_GBK" w:hAnsi="方正楷体_GBK" w:eastAsia="方正楷体_GBK" w:cs="方正楷体_GBK"/>
        </w:rPr>
      </w:r>
      <w:r/>
    </w:p>
    <w:p>
      <w:pPr>
        <w:pStyle w:val="860"/>
        <w:ind w:firstLine="420"/>
        <w:rPr>
          <w:rFonts w:hint="eastAsia" w:ascii="宋体" w:hAnsi="宋体"/>
          <w:sz w:val="24"/>
        </w:rPr>
      </w:pPr>
      <w:r/>
      <w:bookmarkEnd w:id="97"/>
      <w:r/>
      <w:bookmarkEnd w:id="98"/>
      <w:r/>
      <w:bookmarkEnd w:id="99"/>
      <w:r>
        <w:rPr>
          <w:rFonts w:hint="eastAsia" w:ascii="宋体" w:hAnsi="宋体"/>
          <w:sz w:val="24"/>
        </w:rPr>
        <w:t xml:space="preserve">11.1 供应商应按照法律、法规、规章和规范性文件以及谈判文件要求提交证明文件，证明其响应标的符合谈判文件规定。</w:t>
      </w:r>
      <w:r/>
    </w:p>
    <w:p>
      <w:pPr>
        <w:pStyle w:val="860"/>
        <w:ind w:firstLine="420"/>
        <w:rPr>
          <w:rFonts w:hint="eastAsia" w:ascii="宋体" w:hAnsi="宋体"/>
          <w:sz w:val="24"/>
        </w:rPr>
      </w:pPr>
      <w:r>
        <w:rPr>
          <w:rFonts w:hint="eastAsia" w:ascii="宋体" w:hAnsi="宋体"/>
          <w:sz w:val="24"/>
        </w:rPr>
        <w:t xml:space="preserve">11.2 谈判文件对证明文件无明确形式要求的，证明文件可以以文字资料、图纸和数据等形式提交。</w:t>
      </w:r>
      <w:r/>
    </w:p>
    <w:p>
      <w:pPr>
        <w:pStyle w:val="864"/>
        <w:ind w:firstLine="422"/>
        <w:spacing w:before="0" w:after="0" w:line="240" w:lineRule="auto"/>
        <w:rPr>
          <w:rFonts w:hint="eastAsia" w:ascii="方正楷体_GBK" w:hAnsi="方正楷体_GBK" w:eastAsia="方正楷体_GBK" w:cs="方正楷体_GBK"/>
        </w:rPr>
      </w:pPr>
      <w:r/>
      <w:bookmarkEnd w:id="100"/>
      <w:r/>
      <w:bookmarkEnd w:id="101"/>
      <w:r>
        <w:rPr>
          <w:rFonts w:hint="eastAsia" w:ascii="方正楷体_GBK" w:hAnsi="方正楷体_GBK" w:eastAsia="方正楷体_GBK" w:cs="方正楷体_GBK"/>
        </w:rPr>
        <w:t xml:space="preserve">12.分项报价表（如有）</w:t>
      </w:r>
      <w:r/>
    </w:p>
    <w:p>
      <w:pPr>
        <w:pStyle w:val="860"/>
        <w:ind w:firstLine="420"/>
        <w:rPr>
          <w:rFonts w:hint="eastAsia" w:ascii="宋体" w:hAnsi="宋体"/>
          <w:sz w:val="24"/>
        </w:rPr>
      </w:pPr>
      <w:r>
        <w:rPr>
          <w:rFonts w:hint="eastAsia" w:ascii="宋体" w:hAnsi="宋体"/>
          <w:sz w:val="24"/>
        </w:rPr>
        <w:t xml:space="preserve">12.1 供应商应按照谈判文件规定格式填报分项报价表。</w:t>
      </w:r>
      <w:r/>
    </w:p>
    <w:p>
      <w:pPr>
        <w:pStyle w:val="860"/>
        <w:ind w:firstLine="420"/>
        <w:rPr>
          <w:rFonts w:hint="eastAsia" w:ascii="宋体" w:hAnsi="宋体"/>
          <w:sz w:val="24"/>
        </w:rPr>
      </w:pPr>
      <w:r>
        <w:rPr>
          <w:rFonts w:hint="eastAsia" w:ascii="宋体" w:hAnsi="宋体"/>
          <w:sz w:val="24"/>
        </w:rPr>
        <w:t xml:space="preserve">12.2 响应文件中的单价和总价无特殊规定的采用</w:t>
      </w:r>
      <w:r>
        <w:rPr>
          <w:rFonts w:hint="eastAsia" w:ascii="宋体" w:hAnsi="宋体"/>
          <w:sz w:val="24"/>
        </w:rPr>
        <w:t xml:space="preserve">人民币报价，以元为单位标注。谈判文件另有规定的按规定执行。</w:t>
      </w:r>
      <w:r/>
    </w:p>
    <w:p>
      <w:pPr>
        <w:pStyle w:val="864"/>
        <w:ind w:firstLine="422"/>
        <w:spacing w:before="0" w:after="0" w:line="240" w:lineRule="auto"/>
        <w:rPr>
          <w:rFonts w:hint="eastAsia" w:ascii="方正楷体_GBK" w:hAnsi="方正楷体_GBK" w:eastAsia="方正楷体_GBK" w:cs="方正楷体_GBK"/>
        </w:rPr>
      </w:pPr>
      <w:r/>
      <w:bookmarkStart w:id="102" w:name="_Hlt26670486"/>
      <w:r/>
      <w:bookmarkEnd w:id="102"/>
      <w:r/>
      <w:bookmarkStart w:id="103" w:name="_Hlt26954848"/>
      <w:r/>
      <w:bookmarkEnd w:id="103"/>
      <w:r/>
      <w:bookmarkStart w:id="104" w:name="_Hlt26954846"/>
      <w:r/>
      <w:bookmarkEnd w:id="104"/>
      <w:r/>
      <w:bookmarkStart w:id="105" w:name="_Hlt26670482"/>
      <w:r/>
      <w:bookmarkEnd w:id="105"/>
      <w:r/>
      <w:bookmarkStart w:id="106" w:name="_Hlt26954731"/>
      <w:r/>
      <w:bookmarkEnd w:id="106"/>
      <w:r>
        <w:rPr>
          <w:rFonts w:hint="eastAsia" w:ascii="方正楷体_GBK" w:hAnsi="方正楷体_GBK" w:eastAsia="方正楷体_GBK" w:cs="方正楷体_GBK"/>
        </w:rPr>
        <w:t xml:space="preserve">13.响应及偏离表</w:t>
      </w:r>
      <w:r/>
    </w:p>
    <w:p>
      <w:pPr>
        <w:pStyle w:val="860"/>
        <w:ind w:firstLine="420"/>
        <w:rPr>
          <w:rFonts w:hint="eastAsia" w:ascii="宋体" w:hAnsi="宋体"/>
          <w:sz w:val="24"/>
          <w:lang w:val="zh-CN"/>
        </w:rPr>
      </w:pPr>
      <w:r>
        <w:rPr>
          <w:rFonts w:hint="eastAsia" w:ascii="宋体" w:hAnsi="宋体"/>
          <w:sz w:val="24"/>
          <w:lang w:val="zh-CN"/>
        </w:rPr>
        <w:t xml:space="preserve">13.1</w:t>
      </w:r>
      <w:r>
        <w:rPr>
          <w:rFonts w:hint="eastAsia" w:ascii="宋体" w:hAnsi="宋体"/>
          <w:sz w:val="24"/>
        </w:rPr>
        <w:t xml:space="preserve"> </w:t>
      </w:r>
      <w:r>
        <w:rPr>
          <w:rFonts w:hint="eastAsia" w:ascii="宋体" w:hAnsi="宋体"/>
          <w:sz w:val="24"/>
          <w:lang w:val="zh-CN"/>
        </w:rPr>
        <w:t xml:space="preserve">供应商需对谈判文件中的技术要求与商务要求逐项作出响应或偏离说明。</w:t>
      </w:r>
      <w:r/>
    </w:p>
    <w:p>
      <w:pPr>
        <w:pStyle w:val="860"/>
        <w:ind w:firstLine="420"/>
        <w:rPr>
          <w:rFonts w:hint="eastAsia" w:ascii="宋体" w:hAnsi="宋体"/>
          <w:sz w:val="24"/>
          <w:lang w:val="zh-CN"/>
        </w:rPr>
      </w:pPr>
      <w:r>
        <w:rPr>
          <w:rFonts w:hint="eastAsia" w:ascii="宋体" w:hAnsi="宋体"/>
          <w:sz w:val="24"/>
          <w:lang w:val="zh-CN"/>
        </w:rPr>
        <w:t xml:space="preserve">13.2</w:t>
      </w:r>
      <w:r>
        <w:rPr>
          <w:rFonts w:hint="eastAsia" w:ascii="宋体" w:hAnsi="宋体"/>
          <w:sz w:val="24"/>
        </w:rPr>
        <w:t xml:space="preserve"> </w:t>
      </w:r>
      <w:r>
        <w:rPr>
          <w:rFonts w:hint="eastAsia" w:ascii="宋体" w:hAnsi="宋体"/>
          <w:sz w:val="24"/>
          <w:lang w:val="zh-CN"/>
        </w:rPr>
        <w:t xml:space="preserve">供应商可在响应文件中提供认为需要的其他技术文件或说明。</w:t>
      </w:r>
      <w:r/>
    </w:p>
    <w:p>
      <w:pPr>
        <w:pStyle w:val="864"/>
        <w:ind w:firstLine="422"/>
        <w:spacing w:before="0" w:after="0" w:line="240" w:lineRule="auto"/>
        <w:rPr>
          <w:rFonts w:hint="eastAsia" w:ascii="方正楷体_GBK" w:hAnsi="方正楷体_GBK" w:eastAsia="方正楷体_GBK" w:cs="方正楷体_GBK"/>
        </w:rPr>
      </w:pPr>
      <w:r/>
      <w:bookmarkStart w:id="107" w:name="_Toc14577359"/>
      <w:r/>
      <w:bookmarkStart w:id="108" w:name="_Toc49090510"/>
      <w:r>
        <w:rPr>
          <w:rFonts w:hint="eastAsia" w:ascii="方正楷体_GBK" w:hAnsi="方正楷体_GBK" w:eastAsia="方正楷体_GBK" w:cs="方正楷体_GBK"/>
        </w:rPr>
        <w:t xml:space="preserve">14.谈判响应函</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供应商应按照谈判文件规定格式完整、正确填报谈判响应函。</w:t>
      </w:r>
      <w:r/>
    </w:p>
    <w:p>
      <w:pPr>
        <w:pStyle w:val="864"/>
        <w:ind w:firstLine="422"/>
        <w:spacing w:before="0" w:after="0" w:line="240" w:lineRule="auto"/>
        <w:rPr>
          <w:rFonts w:hint="eastAsia" w:ascii="方正楷体_GBK" w:hAnsi="方正楷体_GBK" w:eastAsia="方正楷体_GBK" w:cs="方正楷体_GBK"/>
        </w:rPr>
      </w:pPr>
      <w:r/>
      <w:bookmarkEnd w:id="107"/>
      <w:r/>
      <w:bookmarkEnd w:id="108"/>
      <w:r/>
      <w:bookmarkStart w:id="109" w:name="_Toc49090511"/>
      <w:r/>
      <w:bookmarkStart w:id="110" w:name="_Toc14577360"/>
      <w:r>
        <w:rPr>
          <w:rFonts w:hint="eastAsia" w:ascii="方正楷体_GBK" w:hAnsi="方正楷体_GBK" w:eastAsia="方正楷体_GBK" w:cs="方正楷体_GBK"/>
        </w:rPr>
        <w:t xml:space="preserve">15.谈判有效期</w:t>
      </w:r>
      <w:bookmarkEnd w:id="109"/>
      <w:r/>
      <w:bookmarkEnd w:id="110"/>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谈判有效期为谈判公告规定的提交响应文件截止之日起六十天。谈判有效期比规定短的将被视为未实质性响应谈判文件而被拒绝。</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16.谈判有效期的延长</w:t>
      </w:r>
      <w:r/>
    </w:p>
    <w:p>
      <w:pPr>
        <w:pStyle w:val="8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在特殊情况下，交易中心于原谈判有效期满之前，可向供应商提</w:t>
      </w:r>
      <w:r>
        <w:rPr>
          <w:rFonts w:hint="eastAsia" w:ascii="宋体" w:hAnsi="宋体"/>
          <w:sz w:val="24"/>
          <w:lang w:val="zh-CN"/>
        </w:rPr>
        <w:t xml:space="preserve">出延长谈判有效期的要求。这种要求与答复均应采用书面形式。供应商可以拒绝交易中心的这一要求而放弃谈判。同意延长谈判有效期的供应商既不能要求也不允许修改其响应文件，同时受谈判有效期约束的所有权利与义务均延长至新的有效期满。</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11" w:name="_Hlt26954852"/>
      <w:r/>
      <w:bookmarkEnd w:id="111"/>
      <w:r/>
      <w:bookmarkStart w:id="112" w:name="_Hlt26954739"/>
      <w:r/>
      <w:bookmarkEnd w:id="112"/>
      <w:r/>
      <w:bookmarkStart w:id="113" w:name="_Toc120614217"/>
      <w:r/>
      <w:bookmarkStart w:id="114" w:name="_Toc16938540"/>
      <w:r/>
      <w:bookmarkStart w:id="115" w:name="_Toc513029224"/>
      <w:r/>
      <w:bookmarkStart w:id="116" w:name="_Toc20823296"/>
      <w:r>
        <w:rPr>
          <w:rFonts w:hint="eastAsia" w:ascii="方正黑体_GBK" w:hAnsi="方正黑体_GBK" w:eastAsia="方正黑体_GBK" w:cs="方正黑体_GBK"/>
          <w:b w:val="0"/>
          <w:bCs w:val="0"/>
          <w:sz w:val="30"/>
          <w:szCs w:val="30"/>
        </w:rPr>
        <w:t xml:space="preserve">四、响应文件的递交</w:t>
      </w:r>
      <w:bookmarkEnd w:id="113"/>
      <w:r/>
      <w:bookmarkEnd w:id="114"/>
      <w:r/>
      <w:bookmarkEnd w:id="115"/>
      <w:r/>
      <w:bookmarkEnd w:id="116"/>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17" w:name="_Toc462564084"/>
      <w:r/>
      <w:bookmarkStart w:id="118" w:name="_Toc16938541"/>
      <w:r/>
      <w:bookmarkStart w:id="119" w:name="_Toc20823297"/>
      <w:r/>
      <w:bookmarkStart w:id="120" w:name="_Toc513029225"/>
      <w:r>
        <w:rPr>
          <w:rFonts w:hint="eastAsia" w:ascii="方正楷体_GBK" w:hAnsi="方正楷体_GBK" w:eastAsia="方正楷体_GBK" w:cs="方正楷体_GBK"/>
        </w:rPr>
        <w:t xml:space="preserve">17.谈判</w:t>
      </w:r>
      <w:bookmarkEnd w:id="117"/>
      <w:r/>
      <w:bookmarkEnd w:id="118"/>
      <w:r/>
      <w:bookmarkEnd w:id="119"/>
      <w:r/>
      <w:bookmarkEnd w:id="120"/>
      <w:r>
        <w:rPr>
          <w:rFonts w:hint="eastAsia" w:ascii="方正楷体_GBK" w:hAnsi="方正楷体_GBK" w:eastAsia="方正楷体_GBK" w:cs="方正楷体_GBK"/>
        </w:rPr>
        <w:t xml:space="preserve">响应文件的递交</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供应商应当按照《操作手册》规定，在</w:t>
      </w:r>
      <w:r>
        <w:rPr>
          <w:rFonts w:hint="eastAsia" w:ascii="宋体" w:hAnsi="宋体"/>
          <w:sz w:val="24"/>
        </w:rPr>
        <w:t xml:space="preserve">采购</w:t>
      </w:r>
      <w:r>
        <w:rPr>
          <w:rFonts w:hint="eastAsia" w:ascii="宋体" w:hAnsi="宋体"/>
          <w:sz w:val="24"/>
          <w:lang w:val="zh-CN"/>
        </w:rPr>
        <w:t xml:space="preserve">公告规定的提交响应文件截止时间前制作并上传电子响应文件。</w:t>
      </w:r>
      <w:bookmarkStart w:id="121" w:name="_Toc20823298"/>
      <w:r/>
      <w:bookmarkStart w:id="122" w:name="_Toc513029226"/>
      <w:r/>
      <w:bookmarkStart w:id="123" w:name="_Toc16938542"/>
      <w:r>
        <w:rPr>
          <w:rFonts w:hint="eastAsia" w:ascii="宋体" w:hAnsi="宋体"/>
          <w:sz w:val="24"/>
          <w:lang w:val="zh-CN"/>
        </w:rPr>
      </w:r>
      <w:r/>
    </w:p>
    <w:p>
      <w:pPr>
        <w:pStyle w:val="860"/>
        <w:ind w:firstLine="420"/>
        <w:rPr>
          <w:rFonts w:hint="eastAsia" w:ascii="宋体" w:hAnsi="宋体"/>
          <w:sz w:val="24"/>
          <w:lang w:val="zh-CN"/>
        </w:rPr>
      </w:pPr>
      <w:r/>
      <w:bookmarkEnd w:id="121"/>
      <w:r/>
      <w:bookmarkEnd w:id="122"/>
      <w:r/>
      <w:bookmarkEnd w:id="123"/>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供应商应充分考虑网络环境、网络带宽等因素</w:t>
      </w:r>
      <w:r>
        <w:rPr>
          <w:rFonts w:hint="eastAsia" w:ascii="宋体" w:hAnsi="宋体"/>
          <w:sz w:val="24"/>
        </w:rPr>
        <w:t xml:space="preserve">可能产生的影响</w:t>
      </w:r>
      <w:r>
        <w:rPr>
          <w:rFonts w:hint="eastAsia" w:ascii="宋体" w:hAnsi="宋体"/>
          <w:sz w:val="24"/>
          <w:lang w:val="zh-CN"/>
        </w:rPr>
        <w:t xml:space="preserve">，如因供应商自身原因造成的电子响应文件上传不成功</w:t>
      </w:r>
      <w:r>
        <w:rPr>
          <w:rFonts w:hint="eastAsia" w:ascii="宋体" w:hAnsi="宋体"/>
          <w:sz w:val="24"/>
          <w:lang w:val="zh-CN"/>
        </w:rPr>
        <w:t xml:space="preserve">由供应商自行承担全部责任，并按照本谈判文件第二章第2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条规定做无效响应处理。</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交易中心可以按照规定，通过修改谈判文件酌情延长提交响应文件截止时间，在此情况下，供应商的所有权利和义务均以延长后新的截止时间为准。</w:t>
      </w:r>
      <w:r/>
    </w:p>
    <w:p>
      <w:pPr>
        <w:pStyle w:val="864"/>
        <w:ind w:firstLine="422"/>
        <w:spacing w:before="0" w:after="0" w:line="240" w:lineRule="auto"/>
        <w:rPr>
          <w:rFonts w:hint="eastAsia" w:ascii="方正楷体_GBK" w:hAnsi="方正楷体_GBK" w:eastAsia="方正楷体_GBK" w:cs="方正楷体_GBK"/>
        </w:rPr>
      </w:pPr>
      <w:r/>
      <w:bookmarkStart w:id="124" w:name="_Toc20823299"/>
      <w:r/>
      <w:bookmarkStart w:id="125" w:name="_Toc513029227"/>
      <w:r/>
      <w:bookmarkStart w:id="126" w:name="_Toc16938543"/>
      <w:r>
        <w:rPr>
          <w:rFonts w:hint="eastAsia" w:ascii="方正楷体_GBK" w:hAnsi="方正楷体_GBK" w:eastAsia="方正楷体_GBK" w:cs="方正楷体_GBK"/>
        </w:rPr>
        <w:t xml:space="preserve">18.响应文件</w:t>
      </w:r>
      <w:bookmarkEnd w:id="124"/>
      <w:r/>
      <w:bookmarkEnd w:id="125"/>
      <w:r/>
      <w:bookmarkEnd w:id="126"/>
      <w:r>
        <w:rPr>
          <w:rFonts w:hint="eastAsia" w:ascii="方正楷体_GBK" w:hAnsi="方正楷体_GBK" w:eastAsia="方正楷体_GBK" w:cs="方正楷体_GBK"/>
        </w:rPr>
        <w:t xml:space="preserve">的拒收</w:t>
      </w:r>
      <w:r/>
    </w:p>
    <w:p>
      <w:pPr>
        <w:pStyle w:val="860"/>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.1 提交响应文件截止时间后上传的任何响应文件将被拒绝。</w:t>
      </w:r>
      <w:r/>
    </w:p>
    <w:p>
      <w:pPr>
        <w:pStyle w:val="864"/>
        <w:ind w:firstLine="422"/>
        <w:spacing w:before="0" w:after="0" w:line="240" w:lineRule="auto"/>
        <w:rPr>
          <w:rFonts w:hint="eastAsia" w:ascii="方正楷体_GBK" w:hAnsi="方正楷体_GBK" w:eastAsia="方正楷体_GBK" w:cs="方正楷体_GBK"/>
        </w:rPr>
      </w:pPr>
      <w:r/>
      <w:bookmarkStart w:id="127" w:name="_Toc16938544"/>
      <w:r/>
      <w:bookmarkStart w:id="128" w:name="_Toc513029228"/>
      <w:r/>
      <w:bookmarkStart w:id="129" w:name="_Toc20823300"/>
      <w:r>
        <w:rPr>
          <w:rFonts w:hint="eastAsia" w:ascii="方正楷体_GBK" w:hAnsi="方正楷体_GBK" w:eastAsia="方正楷体_GBK" w:cs="方正楷体_GBK"/>
        </w:rPr>
        <w:t xml:space="preserve">19.响应文件的撤回和修改</w:t>
      </w:r>
      <w:bookmarkEnd w:id="127"/>
      <w:r/>
      <w:bookmarkEnd w:id="128"/>
      <w:r/>
      <w:bookmarkEnd w:id="129"/>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响应文件的撤回</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供应商可在提交响应文件截止时间前，撤回其电子响应文件，具体操作方法见《操作手册》。</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供应商撤回电子响应文件，则认为其不再参与本项目谈判活动。</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响应文件的修改</w:t>
      </w:r>
      <w:r/>
    </w:p>
    <w:p>
      <w:pPr>
        <w:pStyle w:val="860"/>
        <w:ind w:firstLine="420"/>
        <w:rPr>
          <w:rFonts w:hint="eastAsia" w:ascii="宋体" w:hAnsi="宋体"/>
          <w:sz w:val="24"/>
          <w:lang w:val="zh-CN"/>
        </w:rPr>
      </w:pPr>
      <w:r>
        <w:rPr>
          <w:rFonts w:hint="eastAsia" w:ascii="宋体" w:hAnsi="宋体"/>
          <w:sz w:val="24"/>
        </w:rPr>
        <w:t xml:space="preserve">19.2.1 </w:t>
      </w:r>
      <w:r>
        <w:rPr>
          <w:rFonts w:hint="eastAsia" w:ascii="宋体" w:hAnsi="宋体"/>
          <w:sz w:val="24"/>
          <w:lang w:val="zh-CN"/>
        </w:rPr>
        <w:t xml:space="preserve">供应商可在提交响应文件截止时间前，对其电子响应文件进行修改，具体操作方法见《操作手册》。</w:t>
      </w:r>
      <w:r/>
    </w:p>
    <w:p>
      <w:pPr>
        <w:pStyle w:val="860"/>
        <w:ind w:firstLine="420"/>
        <w:rPr>
          <w:rFonts w:hint="eastAsia" w:ascii="宋体" w:hAnsi="宋体"/>
          <w:sz w:val="24"/>
          <w:lang w:val="zh-CN"/>
        </w:rPr>
      </w:pPr>
      <w:r>
        <w:rPr>
          <w:rFonts w:hint="eastAsia" w:ascii="宋体" w:hAnsi="宋体"/>
          <w:sz w:val="24"/>
        </w:rPr>
        <w:t xml:space="preserve">19.2.2 </w:t>
      </w:r>
      <w:r>
        <w:rPr>
          <w:rFonts w:hint="eastAsia" w:ascii="宋体" w:hAnsi="宋体"/>
          <w:sz w:val="24"/>
          <w:lang w:val="zh-CN"/>
        </w:rPr>
        <w:t xml:space="preserve">在提交响应文件截止时间后，供应商不得对其电子响应文件作任何修改。</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在提交响应文件截止时间至谈判文件中规定的谈判有效期满之间的这段时间内，供应商不得撤回其响应文件。</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30" w:name="_Toc120614218"/>
      <w:r/>
      <w:bookmarkStart w:id="131" w:name="_Toc20823301"/>
      <w:r/>
      <w:bookmarkStart w:id="132" w:name="_Toc16938545"/>
      <w:r/>
      <w:bookmarkStart w:id="133" w:name="_Toc513029229"/>
      <w:r>
        <w:rPr>
          <w:rFonts w:hint="eastAsia" w:ascii="方正黑体_GBK" w:hAnsi="方正黑体_GBK" w:eastAsia="方正黑体_GBK" w:cs="方正黑体_GBK"/>
          <w:b w:val="0"/>
          <w:bCs w:val="0"/>
          <w:sz w:val="30"/>
          <w:szCs w:val="30"/>
        </w:rPr>
        <w:t xml:space="preserve">五、响应文件的解密与评审</w:t>
      </w:r>
      <w:bookmarkEnd w:id="130"/>
      <w:r/>
      <w:bookmarkEnd w:id="131"/>
      <w:r/>
      <w:bookmarkEnd w:id="132"/>
      <w:r/>
      <w:bookmarkEnd w:id="133"/>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供应商应当按照《操作手册》规定，在苏采云系统规定的时间内对响应文件进行解密。</w:t>
      </w:r>
      <w:r/>
    </w:p>
    <w:p>
      <w:pPr>
        <w:pStyle w:val="864"/>
        <w:ind w:firstLine="422"/>
        <w:spacing w:before="0" w:after="0" w:line="240" w:lineRule="auto"/>
        <w:rPr>
          <w:rFonts w:hint="eastAsia" w:ascii="方正楷体_GBK" w:hAnsi="方正楷体_GBK" w:eastAsia="方正楷体_GBK" w:cs="方正楷体_GBK"/>
        </w:rPr>
      </w:pPr>
      <w:r/>
      <w:bookmarkStart w:id="134" w:name="_Toc16938547"/>
      <w:r/>
      <w:bookmarkStart w:id="135" w:name="_Toc513029231"/>
      <w:r/>
      <w:bookmarkStart w:id="136" w:name="_Toc20823303"/>
      <w:r>
        <w:rPr>
          <w:rFonts w:hint="eastAsia" w:ascii="方正楷体_GBK" w:hAnsi="方正楷体_GBK" w:eastAsia="方正楷体_GBK" w:cs="方正楷体_GBK"/>
        </w:rPr>
        <w:t xml:space="preserve">21.谈判</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依法组建的谈判小组</w:t>
      </w:r>
      <w:r>
        <w:rPr>
          <w:rFonts w:hint="eastAsia" w:ascii="宋体" w:hAnsi="宋体"/>
          <w:sz w:val="24"/>
          <w:lang w:val="zh-CN"/>
        </w:rPr>
        <w:t xml:space="preserve">对响应文件进行评审。</w:t>
      </w:r>
      <w:r/>
    </w:p>
    <w:p>
      <w:pPr>
        <w:pStyle w:val="860"/>
        <w:ind w:firstLine="420"/>
        <w:rPr>
          <w:rFonts w:hint="eastAsia" w:ascii="宋体" w:hAnsi="宋体"/>
          <w:sz w:val="24"/>
          <w:lang w:val="zh-CN"/>
        </w:rPr>
      </w:pPr>
      <w:r>
        <w:rPr>
          <w:rFonts w:hint="eastAsia" w:ascii="宋体" w:hAnsi="宋体"/>
          <w:sz w:val="24"/>
        </w:rPr>
        <w:t xml:space="preserve">21.2 </w:t>
      </w:r>
      <w:r>
        <w:rPr>
          <w:rFonts w:hint="eastAsia" w:ascii="宋体" w:hAnsi="宋体"/>
          <w:sz w:val="24"/>
          <w:lang w:val="zh-CN"/>
        </w:rPr>
        <w:t xml:space="preserve">谈判小组由采购人代表和有关方面的专家组成，人员构成符合政府采购有关规定。</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谈判小组独立工作，负责评审所有响应文件并推荐成交候选人，或根据采购人授权直接确定成交供应商。</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p>
    <w:p>
      <w:pPr>
        <w:pStyle w:val="860"/>
        <w:ind w:firstLine="420"/>
        <w:rPr>
          <w:rFonts w:hint="eastAsia" w:ascii="宋体" w:hAnsi="宋体"/>
          <w:sz w:val="24"/>
          <w:lang w:val="zh-CN"/>
        </w:rPr>
      </w:pPr>
      <w:r/>
      <w:bookmarkEnd w:id="134"/>
      <w:r/>
      <w:bookmarkEnd w:id="135"/>
      <w:r/>
      <w:bookmarkEnd w:id="136"/>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谈判小组、采购人和交易中心工作人员、相关监督人员等与评审工作有关的人员，对评审情况以及在评审过程中获悉的国家秘密、商业秘密负有保密责任。</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供应商不得以任何行为影响评审过程，否则其响应文件将被作为无效响应文件。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交易中心和谈判小组不向未成交的供应商解释未成交原因，也不公布评审过程</w:t>
      </w:r>
      <w:r>
        <w:rPr>
          <w:rFonts w:hint="eastAsia" w:ascii="宋体" w:hAnsi="宋体"/>
          <w:sz w:val="24"/>
          <w:lang w:val="zh-CN"/>
        </w:rPr>
        <w:t xml:space="preserve">中的相关细节。</w:t>
      </w:r>
      <w:r/>
    </w:p>
    <w:p>
      <w:pPr>
        <w:pStyle w:val="864"/>
        <w:ind w:firstLine="422"/>
        <w:spacing w:before="0" w:after="0" w:line="240" w:lineRule="auto"/>
        <w:rPr>
          <w:rFonts w:hint="eastAsia" w:ascii="方正楷体_GBK" w:hAnsi="方正楷体_GBK" w:eastAsia="方正楷体_GBK" w:cs="方正楷体_GBK"/>
        </w:rPr>
      </w:pPr>
      <w:r/>
      <w:bookmarkStart w:id="137" w:name="_Toc16938548"/>
      <w:r/>
      <w:bookmarkStart w:id="138" w:name="_Toc20823304"/>
      <w:r/>
      <w:bookmarkStart w:id="139" w:name="_Toc513029232"/>
      <w:r>
        <w:rPr>
          <w:rFonts w:hint="eastAsia" w:ascii="方正楷体_GBK" w:hAnsi="方正楷体_GBK" w:eastAsia="方正楷体_GBK" w:cs="方正楷体_GBK"/>
        </w:rPr>
        <w:t xml:space="preserve">23.评审过程中的的澄清</w:t>
      </w:r>
      <w:bookmarkEnd w:id="137"/>
      <w:r/>
      <w:bookmarkEnd w:id="138"/>
      <w:r/>
      <w:bookmarkEnd w:id="139"/>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项目评审期间，谈判小组对响应文件中含义不明确、同类问题表述不一致或者有明显文字和计算错误的内容，有权要求供应商作出必要的澄清、说明或者补正。</w:t>
      </w:r>
      <w:r/>
    </w:p>
    <w:p>
      <w:pPr>
        <w:pStyle w:val="860"/>
        <w:ind w:firstLine="420"/>
        <w:rPr>
          <w:rFonts w:hint="eastAsia" w:ascii="宋体" w:hAnsi="宋体"/>
          <w:sz w:val="24"/>
          <w:lang w:val="zh-CN"/>
        </w:rPr>
      </w:pPr>
      <w:r>
        <w:rPr>
          <w:rFonts w:hint="eastAsia" w:ascii="宋体" w:hAnsi="宋体"/>
          <w:sz w:val="24"/>
          <w:lang w:val="zh-CN"/>
        </w:rPr>
        <w:t xml:space="preserve">供应商的澄清、说明或者补正不得超出响应文件的范围或者改变响应文件的实质性内容。</w:t>
      </w:r>
      <w:r/>
    </w:p>
    <w:p>
      <w:pPr>
        <w:pStyle w:val="860"/>
        <w:ind w:firstLine="420"/>
        <w:rPr>
          <w:rFonts w:hint="eastAsia" w:ascii="宋体" w:hAnsi="宋体"/>
          <w:sz w:val="24"/>
          <w:lang w:val="zh-CN"/>
        </w:rPr>
      </w:pPr>
      <w:r>
        <w:rPr>
          <w:rFonts w:hint="eastAsia" w:ascii="宋体" w:hAnsi="宋体"/>
          <w:sz w:val="24"/>
          <w:lang w:val="zh-CN"/>
        </w:rPr>
        <w:t xml:space="preserve">谈判小组并非对每个供应商都做澄清要求。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需要供应商进行澄清、说明和补正的，谈判小组将通过苏采云系统向供应商发布《澄清要求函》，接到《澄清要求函》的供应商应当按照要求在苏采云系统中提交《澄清响应函</w:t>
      </w:r>
      <w:r>
        <w:rPr>
          <w:rFonts w:hint="eastAsia" w:ascii="宋体" w:hAnsi="宋体"/>
          <w:sz w:val="24"/>
          <w:lang w:val="zh-CN"/>
        </w:rPr>
        <w:t xml:space="preserve">》并加盖电子公章。澄清、说明和补正的内容作为响应文件的补充部分，具体操作方式见《操作手册》。</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接到谈判小组澄清、说明和补正要求的供应商如未按规定做出澄清、说明和补正，其风险由供应商自行承担。</w:t>
      </w:r>
      <w:r/>
    </w:p>
    <w:p>
      <w:pPr>
        <w:pStyle w:val="864"/>
        <w:ind w:firstLine="422"/>
        <w:spacing w:before="0" w:after="0" w:line="240" w:lineRule="auto"/>
        <w:rPr>
          <w:rFonts w:hint="eastAsia" w:ascii="方正楷体_GBK" w:hAnsi="方正楷体_GBK" w:eastAsia="方正楷体_GBK" w:cs="方正楷体_GBK"/>
        </w:rPr>
      </w:pPr>
      <w:r/>
      <w:bookmarkStart w:id="140" w:name="_Toc20823305"/>
      <w:r/>
      <w:bookmarkStart w:id="141" w:name="_Toc16938549"/>
      <w:r/>
      <w:bookmarkStart w:id="142" w:name="_Toc513029233"/>
      <w:r>
        <w:rPr>
          <w:rFonts w:hint="eastAsia" w:ascii="方正楷体_GBK" w:hAnsi="方正楷体_GBK" w:eastAsia="方正楷体_GBK" w:cs="方正楷体_GBK"/>
        </w:rPr>
        <w:t xml:space="preserve">24.响应文件的审</w:t>
      </w:r>
      <w:bookmarkEnd w:id="140"/>
      <w:r/>
      <w:bookmarkEnd w:id="141"/>
      <w:r/>
      <w:bookmarkEnd w:id="142"/>
      <w:r>
        <w:rPr>
          <w:rFonts w:hint="eastAsia" w:ascii="方正楷体_GBK" w:hAnsi="方正楷体_GBK" w:eastAsia="方正楷体_GBK" w:cs="方正楷体_GBK"/>
        </w:rPr>
        <w:t xml:space="preserve">查</w:t>
      </w:r>
      <w:r/>
    </w:p>
    <w:p>
      <w:pPr>
        <w:pStyle w:val="860"/>
        <w:ind w:firstLine="420"/>
        <w:rPr>
          <w:rFonts w:hint="eastAsia" w:ascii="宋体" w:hAnsi="宋体"/>
          <w:sz w:val="24"/>
        </w:rPr>
      </w:pPr>
      <w:r>
        <w:rPr>
          <w:rFonts w:hint="eastAsia" w:ascii="宋体" w:hAnsi="宋体"/>
          <w:sz w:val="24"/>
        </w:rPr>
        <w:t xml:space="preserve">24.1 响应文件审查分为资格审查和符合性审查。</w:t>
      </w:r>
      <w:r/>
    </w:p>
    <w:p>
      <w:pPr>
        <w:pStyle w:val="860"/>
        <w:ind w:firstLine="420"/>
        <w:rPr>
          <w:rFonts w:hint="eastAsia" w:ascii="宋体" w:hAnsi="宋体"/>
          <w:sz w:val="24"/>
        </w:rPr>
      </w:pPr>
      <w:r>
        <w:rPr>
          <w:rFonts w:hint="eastAsia" w:ascii="宋体" w:hAnsi="宋体"/>
          <w:sz w:val="24"/>
        </w:rPr>
        <w:t xml:space="preserve">24.1.1 资格审查。依据法律法规和谈判文件的规定，谈判小组对响应文件中的资格证明文件进行审查，以确定供应商是否具备参加谈判的资格。</w:t>
      </w:r>
      <w:r/>
    </w:p>
    <w:p>
      <w:pPr>
        <w:pStyle w:val="860"/>
        <w:ind w:firstLine="420"/>
        <w:rPr>
          <w:rFonts w:hint="eastAsia" w:ascii="宋体" w:hAnsi="宋体"/>
          <w:sz w:val="24"/>
        </w:rPr>
      </w:pPr>
      <w:r>
        <w:rPr>
          <w:rFonts w:hint="eastAsia" w:ascii="宋体" w:hAnsi="宋体"/>
          <w:sz w:val="24"/>
        </w:rPr>
        <w:t xml:space="preserve">谈判小组在进行资格审查的同时，将在“信用中国”网站（www.creditchina.gov.cn）查询供应商的信用记录，以确定供应商是否具备谈判资格，查询结果留存并归档。</w:t>
      </w:r>
      <w:r/>
    </w:p>
    <w:p>
      <w:pPr>
        <w:pStyle w:val="860"/>
        <w:ind w:firstLine="420"/>
        <w:rPr>
          <w:rFonts w:hint="eastAsia" w:ascii="宋体" w:hAnsi="宋体"/>
          <w:sz w:val="24"/>
        </w:rPr>
      </w:pPr>
      <w:r>
        <w:rPr>
          <w:rFonts w:hint="eastAsia" w:ascii="宋体" w:hAnsi="宋体"/>
          <w:sz w:val="24"/>
        </w:rPr>
        <w:t xml:space="preserve">接受联合体的项目，联合体成员存在不良信用记录的，视同联合体存在不良应用记录。</w:t>
      </w:r>
      <w:r/>
    </w:p>
    <w:p>
      <w:pPr>
        <w:pStyle w:val="860"/>
        <w:ind w:firstLine="420"/>
        <w:rPr>
          <w:rFonts w:hint="eastAsia" w:ascii="宋体" w:hAnsi="宋体"/>
          <w:sz w:val="24"/>
        </w:rPr>
      </w:pPr>
      <w:r>
        <w:rPr>
          <w:rFonts w:hint="eastAsia" w:ascii="宋体" w:hAnsi="宋体"/>
          <w:sz w:val="24"/>
        </w:rPr>
        <w:t xml:space="preserve">24.1.2 符合性审查。依据谈判文件的规定，由谈判小组从响应文件的有效性、完整性和对谈判文件的响应程度进行审查，以确定是否对谈判文件的实质性要求作出响应。</w:t>
      </w:r>
      <w:r/>
    </w:p>
    <w:p>
      <w:pPr>
        <w:pStyle w:val="860"/>
        <w:ind w:firstLine="420"/>
        <w:rPr>
          <w:rFonts w:hint="eastAsia" w:ascii="宋体" w:hAnsi="宋体"/>
          <w:sz w:val="24"/>
        </w:rPr>
      </w:pPr>
      <w:r>
        <w:rPr>
          <w:rFonts w:hint="eastAsia" w:ascii="宋体" w:hAnsi="宋体"/>
          <w:sz w:val="24"/>
        </w:rPr>
        <w:t xml:space="preserve">24.1.3 未通过资格审查或符合性审查的供应商，谈判小组将通过苏采云系统告知具体原因，评审结束后将不再接受有关询问。</w:t>
      </w:r>
      <w:r/>
    </w:p>
    <w:p>
      <w:pPr>
        <w:pStyle w:val="860"/>
        <w:ind w:firstLine="420"/>
        <w:rPr>
          <w:rFonts w:hint="eastAsia" w:ascii="宋体" w:hAnsi="宋体"/>
          <w:sz w:val="24"/>
        </w:rPr>
      </w:pPr>
      <w:r>
        <w:rPr>
          <w:rFonts w:hint="eastAsia" w:ascii="宋体" w:hAnsi="宋体"/>
          <w:sz w:val="24"/>
        </w:rPr>
        <w:t xml:space="preserve">24.2 在详细评审之前，谈判小组将首先审查每份响应文件是否实质性响应了谈判文件的要求</w:t>
      </w:r>
      <w:r>
        <w:rPr>
          <w:rFonts w:hint="eastAsia" w:ascii="宋体" w:hAnsi="宋体"/>
          <w:sz w:val="24"/>
        </w:rPr>
        <w:t xml:space="preserve">。实质性响应的响应文件应该是与谈判文件要求的全部条款、条件和规格相符，没有重大偏离或保留的文件。</w:t>
      </w:r>
      <w:r/>
    </w:p>
    <w:p>
      <w:pPr>
        <w:pStyle w:val="860"/>
        <w:ind w:firstLine="420"/>
        <w:rPr>
          <w:rFonts w:hint="eastAsia" w:ascii="宋体" w:hAnsi="宋体"/>
          <w:sz w:val="24"/>
        </w:rPr>
      </w:pPr>
      <w:r>
        <w:rPr>
          <w:rFonts w:hint="eastAsia" w:ascii="宋体" w:hAnsi="宋体"/>
          <w:sz w:val="24"/>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p>
    <w:p>
      <w:pPr>
        <w:pStyle w:val="860"/>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rPr>
        <w:t xml:space="preserve">谈判</w:t>
      </w:r>
      <w:r>
        <w:rPr>
          <w:rFonts w:hint="eastAsia" w:ascii="宋体" w:hAnsi="宋体"/>
          <w:sz w:val="24"/>
          <w:szCs w:val="21"/>
        </w:rPr>
        <w:t xml:space="preserve">小组</w:t>
      </w:r>
      <w:r>
        <w:rPr>
          <w:rFonts w:hint="eastAsia" w:ascii="宋体" w:hAnsi="宋体"/>
          <w:sz w:val="24"/>
          <w:lang w:val="zh-CN"/>
        </w:rPr>
        <w:t xml:space="preserve">应当启动异常低价审查</w:t>
      </w:r>
      <w:r>
        <w:rPr>
          <w:rFonts w:hint="eastAsia" w:ascii="宋体" w:hAnsi="宋体"/>
          <w:sz w:val="24"/>
          <w:lang w:val="zh-CN"/>
        </w:rPr>
        <w:t xml:space="preserve">程序：</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50%</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rPr>
        <w:t xml:space="preserve">50</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rPr>
        <w:t xml:space="preserve">50</w:t>
      </w:r>
      <w:r>
        <w:rPr>
          <w:rFonts w:hint="eastAsia" w:ascii="宋体" w:hAnsi="宋体"/>
          <w:sz w:val="24"/>
          <w:u w:val="single"/>
          <w:lang w:val="zh-CN"/>
        </w:rPr>
        <w:t xml:space="preserve">%</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谈判</w:t>
      </w:r>
      <w:r>
        <w:rPr>
          <w:rFonts w:hint="eastAsia" w:ascii="宋体" w:hAnsi="宋体"/>
          <w:sz w:val="24"/>
          <w:szCs w:val="21"/>
        </w:rPr>
        <w:t xml:space="preserve">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2谈判</w:t>
      </w:r>
      <w:r>
        <w:rPr>
          <w:rFonts w:hint="eastAsia" w:ascii="宋体" w:hAnsi="宋体"/>
          <w:sz w:val="24"/>
          <w:szCs w:val="21"/>
        </w:rPr>
        <w:t xml:space="preserve">小组</w:t>
      </w:r>
      <w:r>
        <w:rPr>
          <w:rFonts w:hint="eastAsia" w:ascii="宋体" w:hAnsi="宋体"/>
          <w:sz w:val="24"/>
          <w:lang w:val="zh-CN"/>
        </w:rPr>
        <w:t xml:space="preserve">启动异常低价审查后，属于前述第（1）项至第（4）项情形的，应当要求相关供应商在</w:t>
      </w:r>
      <w:r>
        <w:rPr>
          <w:rFonts w:hint="eastAsia" w:ascii="宋体" w:hAnsi="宋体"/>
          <w:sz w:val="24"/>
          <w:lang w:val="zh-CN"/>
        </w:rPr>
        <w:t xml:space="preserve">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43"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43"/>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szCs w:val="21"/>
        </w:rPr>
        <w:t xml:space="preserve">谈判小组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谈判小组</w:t>
      </w:r>
      <w:r>
        <w:rPr>
          <w:rFonts w:hint="eastAsia" w:ascii="宋体" w:hAnsi="宋体"/>
          <w:sz w:val="24"/>
          <w:lang w:val="zh-CN"/>
        </w:rPr>
        <w:t xml:space="preserve">应当将其作为</w:t>
      </w:r>
      <w:r>
        <w:rPr>
          <w:rFonts w:hint="eastAsia" w:ascii="宋体" w:hAnsi="宋体"/>
          <w:sz w:val="24"/>
        </w:rPr>
        <w:t xml:space="preserve">未实质性响应谈判文件</w:t>
      </w:r>
      <w:r>
        <w:rPr>
          <w:rFonts w:hint="eastAsia" w:ascii="宋体" w:hAnsi="宋体"/>
          <w:sz w:val="24"/>
          <w:lang w:val="zh-CN"/>
        </w:rPr>
        <w:t xml:space="preserve">处理。</w:t>
      </w:r>
      <w:r/>
    </w:p>
    <w:p>
      <w:pPr>
        <w:pStyle w:val="860"/>
        <w:ind w:firstLine="420"/>
        <w:rPr>
          <w:rFonts w:hint="eastAsia" w:ascii="宋体" w:hAnsi="宋体"/>
          <w:sz w:val="24"/>
        </w:rPr>
      </w:pPr>
      <w:r>
        <w:rPr>
          <w:rFonts w:hint="eastAsia" w:ascii="宋体" w:hAnsi="宋体"/>
          <w:sz w:val="24"/>
        </w:rPr>
        <w:t xml:space="preserve">24.4 未实质性响应谈判文件的情形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供应商在苏采云系统规定的时间内未成功解密电子响应文件。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供应商未按照谈判文件要求上传电子响应文件。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同一供应商提交两个（含两个）以上不同的响应文件或者报价。</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供应商不具备谈判文件中规定的资格要求。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不符合谈判文件中规定的实质性要求和条件（</w:t>
      </w:r>
      <w:r>
        <w:rPr>
          <w:rFonts w:hint="eastAsia" w:ascii="宋体" w:hAnsi="宋体"/>
          <w:b/>
          <w:bCs/>
          <w:sz w:val="24"/>
          <w:lang w:val="zh-CN"/>
        </w:rPr>
        <w:t xml:space="preserve">本文件中</w:t>
      </w:r>
      <w:r>
        <w:rPr>
          <w:rFonts w:hint="eastAsia" w:ascii="宋体" w:hAnsi="宋体"/>
          <w:b/>
          <w:bCs/>
          <w:sz w:val="24"/>
          <w:szCs w:val="21"/>
        </w:rPr>
        <w:t xml:space="preserve">斜体且有下划</w:t>
      </w:r>
      <w:r>
        <w:rPr>
          <w:rFonts w:hint="eastAsia" w:ascii="宋体" w:hAnsi="宋体"/>
          <w:b/>
          <w:bCs/>
          <w:sz w:val="24"/>
          <w:szCs w:val="21"/>
        </w:rPr>
        <w:t xml:space="preserve">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.7</w:t>
      </w:r>
      <w:r>
        <w:rPr>
          <w:rFonts w:hint="eastAsia" w:ascii="宋体" w:hAnsi="宋体"/>
          <w:sz w:val="24"/>
        </w:rPr>
        <w:t xml:space="preserve"> </w:t>
      </w:r>
      <w:r>
        <w:rPr>
          <w:rFonts w:hint="eastAsia" w:ascii="宋体" w:hAnsi="宋体"/>
          <w:sz w:val="24"/>
          <w:lang w:val="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.8</w:t>
      </w:r>
      <w:r>
        <w:rPr>
          <w:rFonts w:hint="eastAsia" w:ascii="宋体" w:hAnsi="宋体"/>
          <w:sz w:val="24"/>
        </w:rPr>
        <w:t xml:space="preserve"> </w:t>
      </w:r>
      <w:r>
        <w:rPr>
          <w:rFonts w:hint="eastAsia" w:ascii="宋体" w:hAnsi="宋体"/>
          <w:sz w:val="24"/>
          <w:lang w:val="zh-CN"/>
        </w:rPr>
        <w:t xml:space="preserve">响应文件含有采购人不能接受的附加条件。</w:t>
      </w:r>
      <w:r/>
    </w:p>
    <w:p>
      <w:pPr>
        <w:pStyle w:val="860"/>
        <w:ind w:firstLine="420"/>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.9</w:t>
      </w:r>
      <w:r>
        <w:rPr>
          <w:rFonts w:hint="eastAsia" w:ascii="宋体" w:hAnsi="宋体"/>
          <w:sz w:val="24"/>
        </w:rPr>
        <w:t xml:space="preserve"> 谈判</w:t>
      </w:r>
      <w:r>
        <w:rPr>
          <w:rFonts w:hint="eastAsia" w:ascii="宋体" w:hAnsi="宋体"/>
          <w:sz w:val="24"/>
          <w:szCs w:val="21"/>
        </w:rPr>
        <w:t xml:space="preserve">小组按照本采购文件规定对供应商进行异常低价审查后，认为供应商不能证明其报价合理性的。</w:t>
      </w:r>
      <w:r/>
    </w:p>
    <w:p>
      <w:pPr>
        <w:pStyle w:val="860"/>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4</w:t>
      </w:r>
      <w:r>
        <w:rPr>
          <w:rFonts w:hint="eastAsia" w:ascii="宋体" w:hAnsi="宋体"/>
          <w:sz w:val="24"/>
          <w:szCs w:val="21"/>
          <w:lang w:val="zh-CN"/>
        </w:rPr>
        <w:t xml:space="preserve">.</w:t>
      </w:r>
      <w:r>
        <w:rPr>
          <w:rFonts w:hint="eastAsia" w:ascii="宋体" w:hAnsi="宋体"/>
          <w:sz w:val="24"/>
          <w:szCs w:val="21"/>
        </w:rPr>
        <w:t xml:space="preserve">4</w:t>
      </w:r>
      <w:r>
        <w:rPr>
          <w:rFonts w:hint="eastAsia" w:ascii="宋体" w:hAnsi="宋体"/>
          <w:sz w:val="24"/>
          <w:szCs w:val="21"/>
          <w:lang w:val="zh-CN"/>
        </w:rPr>
        <w:t xml:space="preserve">.</w:t>
      </w:r>
      <w:r>
        <w:rPr>
          <w:rFonts w:hint="eastAsia" w:ascii="宋体" w:hAnsi="宋体"/>
          <w:sz w:val="24"/>
          <w:szCs w:val="21"/>
        </w:rPr>
        <w:t xml:space="preserve">10 </w:t>
      </w:r>
      <w:r>
        <w:rPr>
          <w:rFonts w:hint="eastAsia" w:ascii="宋体" w:hAnsi="宋体"/>
          <w:sz w:val="24"/>
          <w:szCs w:val="21"/>
          <w:lang w:val="zh-CN"/>
        </w:rPr>
        <w:t xml:space="preserve">采购产品被财政部、国家发改委、生态环</w:t>
      </w:r>
      <w:r>
        <w:rPr>
          <w:rFonts w:hint="eastAsia" w:ascii="宋体" w:hAnsi="宋体"/>
          <w:sz w:val="24"/>
          <w:szCs w:val="21"/>
          <w:lang w:val="zh-CN"/>
        </w:rPr>
        <w:t xml:space="preserve">境部等列入“节能产品品目清单”、“环境标志产品品目清单”强制采购范围，</w:t>
      </w:r>
      <w:r>
        <w:rPr>
          <w:rFonts w:hint="eastAsia" w:ascii="宋体" w:hAnsi="宋体"/>
          <w:sz w:val="24"/>
          <w:szCs w:val="21"/>
        </w:rPr>
        <w:t xml:space="preserve">而供应商提供的产品不在强制采购范围内</w:t>
      </w:r>
      <w:r>
        <w:rPr>
          <w:rFonts w:hint="eastAsia" w:ascii="宋体" w:hAnsi="宋体"/>
          <w:sz w:val="24"/>
          <w:szCs w:val="21"/>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1 </w:t>
      </w:r>
      <w:r>
        <w:rPr>
          <w:rFonts w:hint="eastAsia" w:ascii="宋体" w:hAnsi="宋体"/>
          <w:sz w:val="24"/>
          <w:lang w:val="zh-CN"/>
        </w:rPr>
        <w:t xml:space="preserve">响应文件未按照谈判文件要求加盖电子公章。</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2 </w:t>
      </w:r>
      <w:r>
        <w:rPr>
          <w:rFonts w:hint="eastAsia" w:ascii="宋体" w:hAnsi="宋体"/>
          <w:sz w:val="24"/>
          <w:szCs w:val="21"/>
        </w:rPr>
        <w:t xml:space="preserve">法律法规及本谈判文件规定的其他无效响应情形。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未实质性响应谈判文件的响应文件按无效响应处理。</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lang w:val="zh-CN"/>
        </w:rPr>
        <w:t xml:space="preserve">如果响应文件实质上没有响应谈判文件的要求，谈判小组将予以拒绝，供应商不得通过修改或撤销不</w:t>
      </w:r>
      <w:r>
        <w:rPr>
          <w:rFonts w:hint="eastAsia" w:ascii="宋体" w:hAnsi="宋体"/>
          <w:sz w:val="24"/>
        </w:rPr>
        <w:t xml:space="preserve">符合</w:t>
      </w:r>
      <w:r>
        <w:rPr>
          <w:rFonts w:hint="eastAsia" w:ascii="宋体" w:hAnsi="宋体"/>
          <w:sz w:val="24"/>
          <w:lang w:val="zh-CN"/>
        </w:rPr>
        <w:t xml:space="preserve">要求的偏离或保留而使其成为实质性响应的文件。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 </w:t>
      </w:r>
      <w:r>
        <w:rPr>
          <w:rFonts w:hint="eastAsia" w:ascii="宋体" w:hAnsi="宋体"/>
          <w:sz w:val="24"/>
          <w:lang w:val="zh-CN"/>
        </w:rPr>
        <w:t xml:space="preserve">供应商在项目评审全过程中应保持通讯畅通，及时登录</w:t>
      </w:r>
      <w:r>
        <w:rPr>
          <w:rFonts w:hint="eastAsia" w:ascii="宋体" w:hAnsi="宋体"/>
          <w:sz w:val="24"/>
          <w:lang w:val="zh-CN"/>
        </w:rPr>
        <w:t xml:space="preserve">苏采云系统查阅、答复相关信息，并安排专人与交易中心及谈判小组联系。</w:t>
      </w:r>
      <w:r/>
    </w:p>
    <w:p>
      <w:pPr>
        <w:pStyle w:val="864"/>
        <w:ind w:firstLine="422"/>
        <w:spacing w:before="0" w:after="0" w:line="240" w:lineRule="auto"/>
        <w:rPr>
          <w:rFonts w:hint="eastAsia" w:ascii="方正楷体_GBK" w:hAnsi="方正楷体_GBK" w:eastAsia="方正楷体_GBK" w:cs="方正楷体_GBK"/>
          <w:lang w:val="zh-CN"/>
        </w:rPr>
      </w:pPr>
      <w:r/>
      <w:bookmarkStart w:id="144" w:name="_Toc16938550"/>
      <w:r/>
      <w:bookmarkStart w:id="145" w:name="_Toc20823306"/>
      <w:r/>
      <w:bookmarkStart w:id="146" w:name="_Toc513029234"/>
      <w:r>
        <w:rPr>
          <w:rFonts w:hint="eastAsia" w:ascii="方正楷体_GBK" w:hAnsi="方正楷体_GBK" w:eastAsia="方正楷体_GBK" w:cs="方正楷体_GBK"/>
          <w:lang w:val="zh-CN"/>
        </w:rPr>
        <w:t xml:space="preserve">2</w:t>
      </w:r>
      <w:bookmarkEnd w:id="144"/>
      <w:r/>
      <w:bookmarkEnd w:id="145"/>
      <w:r/>
      <w:bookmarkEnd w:id="146"/>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谈判程序及成交标准</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谈判程序</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谈判</w:t>
      </w:r>
      <w:r>
        <w:rPr>
          <w:rFonts w:hint="eastAsia" w:ascii="宋体" w:hAnsi="宋体"/>
          <w:sz w:val="24"/>
          <w:szCs w:val="21"/>
        </w:rPr>
        <w:t xml:space="preserve">小组将与通过资格审查和符合性审查的供应商分别进行</w:t>
      </w:r>
      <w:r>
        <w:rPr>
          <w:rFonts w:hint="eastAsia" w:ascii="宋体" w:hAnsi="宋体"/>
          <w:sz w:val="24"/>
          <w:lang w:val="zh-CN"/>
        </w:rPr>
        <w:t xml:space="preserve">谈判。谈判小组通过苏采云系统向供应商发布《谈判函》，供应商应当按照要求在苏采云系统提交《谈判响应函》并加盖电子公章。</w:t>
      </w:r>
      <w:r/>
    </w:p>
    <w:p>
      <w:pPr>
        <w:pStyle w:val="860"/>
        <w:ind w:firstLine="420"/>
        <w:rPr>
          <w:rFonts w:hint="eastAsia" w:ascii="宋体" w:hAnsi="宋体"/>
          <w:sz w:val="24"/>
          <w:lang w:val="zh-CN"/>
        </w:rPr>
      </w:pPr>
      <w:r>
        <w:rPr>
          <w:rFonts w:hint="eastAsia" w:ascii="宋体" w:hAnsi="宋体"/>
          <w:sz w:val="24"/>
          <w:lang w:val="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860"/>
        <w:ind w:firstLine="420"/>
        <w:rPr>
          <w:rFonts w:hint="eastAsia" w:ascii="宋体" w:hAnsi="宋体"/>
          <w:sz w:val="24"/>
          <w:lang w:val="zh-CN"/>
        </w:rPr>
      </w:pPr>
      <w:r>
        <w:rPr>
          <w:rFonts w:hint="eastAsia" w:ascii="宋体" w:hAnsi="宋体"/>
          <w:sz w:val="24"/>
          <w:lang w:val="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w:t>
      </w:r>
      <w:r>
        <w:rPr>
          <w:rFonts w:hint="eastAsia" w:ascii="宋体" w:hAnsi="宋体"/>
          <w:sz w:val="24"/>
          <w:lang w:val="zh-CN"/>
        </w:rPr>
        <w:t xml:space="preserve">中向其发布《最后报价要求函》及最后报价格式表，要求其在规定时间内提交最后报价。</w:t>
      </w:r>
      <w:r>
        <w:rPr>
          <w:rFonts w:hint="eastAsia" w:ascii="宋体" w:hAnsi="宋体"/>
          <w:sz w:val="24"/>
        </w:rPr>
        <w:t xml:space="preserve">最后报价是供应商响应文件的有效组成部分。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 成交标准。见谈判文件第五章。</w:t>
      </w:r>
      <w:r/>
    </w:p>
    <w:p>
      <w:pPr>
        <w:pStyle w:val="860"/>
        <w:ind w:firstLine="420"/>
        <w:rPr>
          <w:rFonts w:hint="eastAsia" w:ascii="宋体" w:hAnsi="宋体"/>
          <w:sz w:val="24"/>
          <w:lang w:val="zh-CN"/>
        </w:rPr>
      </w:pPr>
      <w:r>
        <w:rPr>
          <w:rFonts w:hint="eastAsia" w:ascii="宋体" w:hAnsi="宋体"/>
          <w:sz w:val="24"/>
          <w:lang w:val="zh-CN"/>
        </w:rPr>
        <w:t xml:space="preserve">25.3 采购活动终止</w:t>
      </w:r>
      <w:r/>
    </w:p>
    <w:p>
      <w:pPr>
        <w:pStyle w:val="860"/>
        <w:ind w:firstLine="422"/>
        <w:rPr>
          <w:rFonts w:hint="eastAsia" w:ascii="宋体" w:hAnsi="宋体"/>
          <w:b/>
          <w:bCs/>
          <w:sz w:val="24"/>
          <w:lang w:val="zh-CN"/>
        </w:rPr>
      </w:pPr>
      <w:r>
        <w:rPr>
          <w:rFonts w:hint="eastAsia" w:ascii="宋体" w:hAnsi="宋体"/>
          <w:b/>
          <w:bCs/>
          <w:sz w:val="24"/>
          <w:lang w:val="zh-CN"/>
        </w:rPr>
        <w:t xml:space="preserve">出现下列情形之一的，本次采购活动终止：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.1因情况变化，不再符合规定的竞争性谈判采购方式适用情形。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.2出现影响采购公正的违法、违规行为。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szCs w:val="21"/>
        </w:rPr>
        <w:t xml:space="preserve">在苏采云系统规定时间内成功解密电子响应文件的供应商不足三家。</w:t>
      </w:r>
      <w:r>
        <w:rPr>
          <w:rFonts w:hint="eastAsia" w:ascii="宋体" w:hAnsi="宋体"/>
          <w:sz w:val="24"/>
          <w:lang w:val="zh-CN"/>
        </w:rPr>
      </w:r>
      <w:r/>
    </w:p>
    <w:p>
      <w:pPr>
        <w:pStyle w:val="860"/>
        <w:ind w:firstLine="420"/>
        <w:rPr>
          <w:rFonts w:hint="eastAsia" w:ascii="宋体" w:hAnsi="宋体"/>
          <w:sz w:val="24"/>
          <w:szCs w:val="21"/>
        </w:rPr>
      </w:pPr>
      <w:r/>
      <w:bookmarkStart w:id="147" w:name="_Toc20823307"/>
      <w:r/>
      <w:bookmarkStart w:id="148" w:name="_Toc513029235"/>
      <w:r/>
      <w:bookmarkStart w:id="149" w:name="_Toc16938551"/>
      <w:r/>
      <w:bookmarkStart w:id="150" w:name="_Toc120614219"/>
      <w:r/>
      <w:bookmarkStart w:id="151" w:name="_Toc513029238"/>
      <w:r/>
      <w:bookmarkStart w:id="152" w:name="_Toc20823310"/>
      <w:r/>
      <w:bookmarkStart w:id="153" w:name="_Toc16938554"/>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.3.4在谈判过程中符合要求的供应商或者最后报价未超过采购预算</w:t>
      </w:r>
      <w:r>
        <w:rPr>
          <w:rFonts w:hint="eastAsia" w:ascii="宋体" w:hAnsi="宋体"/>
          <w:sz w:val="24"/>
          <w:szCs w:val="21"/>
        </w:rPr>
        <w:t xml:space="preserve">或最高限价</w:t>
      </w:r>
      <w:r>
        <w:rPr>
          <w:rFonts w:hint="eastAsia" w:ascii="宋体" w:hAnsi="宋体"/>
          <w:sz w:val="24"/>
          <w:lang w:val="zh-CN"/>
        </w:rPr>
        <w:t xml:space="preserve">的供应商不足三家。</w:t>
      </w:r>
      <w:r>
        <w:rPr>
          <w:rFonts w:hint="eastAsia" w:ascii="宋体" w:hAnsi="宋体"/>
          <w:sz w:val="24"/>
          <w:szCs w:val="21"/>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.3.5法律法规规定的其他应当终止情形。</w:t>
      </w:r>
      <w:r/>
    </w:p>
    <w:p>
      <w:pPr>
        <w:pStyle w:val="860"/>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谈判小组应</w:t>
      </w:r>
      <w:r>
        <w:rPr>
          <w:rFonts w:hint="eastAsia" w:ascii="宋体" w:hAnsi="宋体"/>
          <w:b/>
          <w:bCs/>
          <w:sz w:val="24"/>
          <w:lang w:bidi="ar"/>
        </w:rPr>
        <w:t xml:space="preserve">对谈判</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47"/>
      <w:r/>
      <w:bookmarkEnd w:id="148"/>
      <w:r/>
      <w:bookmarkEnd w:id="149"/>
      <w:r/>
      <w:bookmarkEnd w:id="150"/>
      <w:r>
        <w:rPr>
          <w:rFonts w:hint="eastAsia" w:ascii="方正黑体_GBK" w:hAnsi="方正黑体_GBK" w:eastAsia="方正黑体_GBK" w:cs="方正黑体_GBK"/>
          <w:b w:val="0"/>
          <w:bCs w:val="0"/>
          <w:sz w:val="30"/>
          <w:szCs w:val="30"/>
        </w:rPr>
        <w:t xml:space="preserve">成交</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w:t>
      </w:r>
      <w:bookmarkEnd w:id="151"/>
      <w:r>
        <w:rPr>
          <w:rFonts w:hint="eastAsia" w:ascii="方正楷体_GBK" w:hAnsi="方正楷体_GBK" w:eastAsia="方正楷体_GBK" w:cs="方正楷体_GBK"/>
        </w:rPr>
        <w:t xml:space="preserve">.确定</w:t>
      </w:r>
      <w:bookmarkEnd w:id="152"/>
      <w:r/>
      <w:bookmarkEnd w:id="153"/>
      <w:r>
        <w:rPr>
          <w:rFonts w:hint="eastAsia" w:ascii="方正楷体_GBK" w:hAnsi="方正楷体_GBK" w:eastAsia="方正楷体_GBK" w:cs="方正楷体_GBK"/>
        </w:rPr>
        <w:t xml:space="preserve">成交单位</w:t>
      </w:r>
      <w:r/>
    </w:p>
    <w:p>
      <w:pPr>
        <w:pStyle w:val="860"/>
        <w:ind w:firstLine="420"/>
        <w:rPr>
          <w:rFonts w:hint="eastAsia" w:ascii="宋体" w:hAnsi="宋体"/>
          <w:sz w:val="24"/>
          <w:szCs w:val="21"/>
        </w:rPr>
      </w:pPr>
      <w:r>
        <w:rPr>
          <w:rFonts w:hint="eastAsia" w:ascii="宋体" w:hAnsi="宋体"/>
          <w:sz w:val="24"/>
        </w:rPr>
        <w:t xml:space="preserve">26.1</w:t>
      </w:r>
      <w:r>
        <w:rPr>
          <w:rFonts w:hint="eastAsia" w:ascii="宋体" w:hAnsi="宋体"/>
          <w:sz w:val="24"/>
          <w:szCs w:val="21"/>
        </w:rPr>
        <w:t xml:space="preserve"> </w:t>
      </w:r>
      <w:r>
        <w:rPr>
          <w:rFonts w:hint="eastAsia" w:ascii="宋体" w:hAnsi="宋体"/>
          <w:sz w:val="24"/>
          <w:szCs w:val="21"/>
        </w:rPr>
        <w:t xml:space="preserve">成交候选供应商的确定原则和数量见谈判文件第五章。</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按以下第（</w:t>
      </w:r>
      <w:r>
        <w:rPr>
          <w:rFonts w:hint="eastAsia" w:ascii="宋体" w:hAnsi="宋体"/>
          <w:sz w:val="24"/>
        </w:rPr>
        <w:t xml:space="preserve">2</w:t>
      </w:r>
      <w:r>
        <w:rPr>
          <w:rFonts w:hint="eastAsia" w:ascii="宋体" w:hAnsi="宋体"/>
          <w:sz w:val="24"/>
          <w:lang w:val="zh-CN"/>
        </w:rPr>
        <w:t xml:space="preserve">）种方式确定成交供应商：</w:t>
      </w:r>
      <w:r/>
    </w:p>
    <w:p>
      <w:pPr>
        <w:pStyle w:val="860"/>
        <w:ind w:firstLine="420"/>
        <w:rPr>
          <w:rFonts w:hint="eastAsia" w:ascii="宋体" w:hAnsi="宋体"/>
          <w:sz w:val="24"/>
          <w:lang w:val="zh-CN"/>
        </w:rPr>
      </w:pPr>
      <w:r>
        <w:rPr>
          <w:rFonts w:hint="eastAsia" w:ascii="宋体" w:hAnsi="宋体"/>
          <w:sz w:val="24"/>
          <w:lang w:val="zh-CN"/>
        </w:rPr>
        <w:t xml:space="preserve">（1）谈判小组直接确定排名第一的成交候选供应商为成交供应商。</w:t>
      </w:r>
      <w:r/>
    </w:p>
    <w:p>
      <w:pPr>
        <w:pStyle w:val="860"/>
        <w:ind w:firstLine="420"/>
        <w:rPr>
          <w:rFonts w:hint="eastAsia" w:ascii="宋体" w:hAnsi="宋体"/>
          <w:sz w:val="24"/>
          <w:lang w:val="zh-CN"/>
        </w:rPr>
      </w:pPr>
      <w:r>
        <w:rPr>
          <w:rFonts w:hint="eastAsia" w:ascii="宋体" w:hAnsi="宋体"/>
          <w:sz w:val="24"/>
          <w:lang w:val="zh-CN"/>
        </w:rPr>
        <w:t xml:space="preserve">（2）采购人在谈判小组推荐的成交候选供应商中按顺序确定成交供应商。</w:t>
      </w:r>
      <w:r/>
    </w:p>
    <w:p>
      <w:pPr>
        <w:pStyle w:val="860"/>
        <w:ind w:firstLine="420"/>
        <w:rPr>
          <w:rFonts w:hint="eastAsia" w:ascii="宋体" w:hAnsi="宋体"/>
          <w:sz w:val="24"/>
          <w:lang w:val="zh-CN"/>
        </w:rPr>
      </w:pPr>
      <w:r>
        <w:rPr>
          <w:rFonts w:hint="eastAsia" w:ascii="宋体" w:hAnsi="宋体"/>
          <w:sz w:val="24"/>
          <w:lang w:val="zh-CN"/>
        </w:rPr>
        <w:t xml:space="preserve">按第二种方式确定成交供应商的，交易中心自评审结束之日起两个工作日内将评审报告送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采购人，采购人自收到评审报告之日起五个工作日内，在评审报告推荐的成交候选供应商中按顺序确定成交供应商。</w:t>
      </w:r>
      <w:r/>
    </w:p>
    <w:p>
      <w:pPr>
        <w:pStyle w:val="860"/>
        <w:ind w:firstLine="420"/>
        <w:rPr>
          <w:rFonts w:hint="eastAsia" w:ascii="宋体" w:hAnsi="宋体"/>
          <w:sz w:val="24"/>
          <w:lang w:val="zh-CN"/>
        </w:rPr>
      </w:pPr>
      <w:r>
        <w:rPr>
          <w:rFonts w:hint="eastAsia" w:ascii="宋体" w:hAnsi="宋体"/>
          <w:sz w:val="24"/>
        </w:rPr>
        <w:t xml:space="preserve">26.3</w:t>
      </w:r>
      <w:r>
        <w:rPr>
          <w:rFonts w:hint="eastAsia" w:ascii="宋体" w:hAnsi="宋体"/>
          <w:sz w:val="24"/>
          <w:lang w:val="zh-CN"/>
        </w:rPr>
        <w:t xml:space="preserve"> 交易中心将在“江苏政府采购网”发布成交结果公告，公告期限为1个工作日。</w:t>
      </w:r>
      <w:r/>
    </w:p>
    <w:p>
      <w:pPr>
        <w:pStyle w:val="860"/>
        <w:ind w:firstLine="420"/>
        <w:rPr>
          <w:rFonts w:hint="eastAsia" w:ascii="宋体" w:hAnsi="宋体"/>
          <w:sz w:val="24"/>
          <w:lang w:val="zh-CN"/>
        </w:rPr>
      </w:pPr>
      <w:r>
        <w:rPr>
          <w:rFonts w:hint="eastAsia" w:ascii="宋体" w:hAnsi="宋体"/>
          <w:sz w:val="24"/>
        </w:rPr>
        <w:t xml:space="preserve">26.4 </w:t>
      </w:r>
      <w:r>
        <w:rPr>
          <w:rFonts w:hint="eastAsia" w:ascii="宋体" w:hAnsi="宋体"/>
          <w:b/>
          <w:bCs/>
          <w:sz w:val="24"/>
          <w:lang w:val="zh-CN"/>
        </w:rPr>
        <w:t xml:space="preserve">若有充分证据证明</w:t>
      </w:r>
      <w:r>
        <w:rPr>
          <w:rFonts w:hint="eastAsia" w:ascii="宋体" w:hAnsi="宋体"/>
          <w:b/>
          <w:bCs/>
          <w:sz w:val="24"/>
          <w:lang w:val="zh-CN"/>
        </w:rPr>
        <w:t xml:space="preserve">成交供应商出现下列情况之一的，一经查实将被取消成交资格：</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26.4.1 提供虚假材料谋取成交。</w:t>
      </w:r>
      <w:r/>
    </w:p>
    <w:p>
      <w:pPr>
        <w:pStyle w:val="860"/>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pStyle w:val="860"/>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pStyle w:val="860"/>
        <w:ind w:firstLine="420"/>
        <w:rPr>
          <w:rFonts w:hint="eastAsia" w:ascii="宋体" w:hAnsi="宋体"/>
          <w:sz w:val="24"/>
          <w:lang w:val="zh-CN"/>
        </w:rPr>
      </w:pPr>
      <w:r>
        <w:rPr>
          <w:rFonts w:hint="eastAsia" w:ascii="宋体" w:hAnsi="宋体"/>
          <w:sz w:val="24"/>
          <w:lang w:val="zh-CN"/>
        </w:rPr>
        <w:t xml:space="preserve">26.4.4 不满足本谈判文件规定的实质性要求，但在评审过程中未被谈判小组发现。</w:t>
      </w:r>
      <w:r/>
    </w:p>
    <w:p>
      <w:pPr>
        <w:pStyle w:val="860"/>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pStyle w:val="864"/>
        <w:ind w:firstLine="422"/>
        <w:spacing w:before="0" w:after="0" w:line="240" w:lineRule="auto"/>
        <w:rPr>
          <w:rFonts w:hint="eastAsia" w:ascii="方正楷体_GBK" w:hAnsi="方正楷体_GBK" w:eastAsia="方正楷体_GBK" w:cs="方正楷体_GBK"/>
        </w:rPr>
      </w:pPr>
      <w:r/>
      <w:bookmarkStart w:id="154" w:name="_Hlt16619369"/>
      <w:r/>
      <w:bookmarkEnd w:id="154"/>
      <w:r/>
      <w:bookmarkStart w:id="155" w:name="_Toc20823346"/>
      <w:r/>
      <w:bookmarkStart w:id="156" w:name="_Toc479757211"/>
      <w:r/>
      <w:bookmarkStart w:id="157" w:name="_Toc462564139"/>
      <w:r/>
      <w:bookmarkStart w:id="158" w:name="_Hlt16619350"/>
      <w:r/>
      <w:bookmarkStart w:id="159" w:name="_Toc120614244"/>
      <w:r/>
      <w:bookmarkStart w:id="160" w:name="_Toc16938590"/>
      <w:r>
        <w:rPr>
          <w:rFonts w:hint="eastAsia" w:ascii="方正楷体_GBK" w:hAnsi="方正楷体_GBK" w:eastAsia="方正楷体_GBK" w:cs="方正楷体_GBK"/>
        </w:rPr>
        <w:t xml:space="preserve">27.成交通知书</w:t>
      </w:r>
      <w:r/>
    </w:p>
    <w:p>
      <w:pPr>
        <w:pStyle w:val="860"/>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w:t>
      </w:r>
      <w:r>
        <w:rPr>
          <w:rFonts w:hint="eastAsia" w:ascii="宋体" w:hAnsi="宋体"/>
          <w:sz w:val="24"/>
          <w:szCs w:val="21"/>
        </w:rPr>
        <w:t xml:space="preserve">起三十日内，登录苏采云系统下载。    </w:t>
      </w:r>
      <w:r/>
    </w:p>
    <w:p>
      <w:pPr>
        <w:pStyle w:val="860"/>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860"/>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pStyle w:val="860"/>
        <w:ind w:firstLine="420"/>
        <w:rPr>
          <w:rFonts w:hint="eastAsia" w:ascii="宋体" w:hAnsi="宋体"/>
          <w:sz w:val="24"/>
          <w:szCs w:val="21"/>
        </w:rPr>
      </w:pPr>
      <w:r>
        <w:rPr>
          <w:rFonts w:hint="eastAsia" w:ascii="宋体" w:hAnsi="宋体"/>
          <w:sz w:val="24"/>
          <w:szCs w:val="21"/>
        </w:rPr>
        <w:t xml:space="preserve">28.l 成交供应商应当在《成交通知书》发出之日起三十日内，按照谈判文件确定的事项与采购人签订政府采购合同。</w:t>
      </w:r>
      <w:r>
        <w:rPr>
          <w:rFonts w:hint="eastAsia" w:ascii="宋体" w:hAnsi="宋体"/>
          <w:sz w:val="24"/>
        </w:rPr>
        <w:t xml:space="preserve">采购</w:t>
      </w:r>
      <w:r>
        <w:rPr>
          <w:rFonts w:hint="eastAsia" w:ascii="宋体" w:hAnsi="宋体"/>
          <w:sz w:val="24"/>
        </w:rPr>
        <w:t xml:space="preserve">人于合同签订后2个工作日内通过苏采云系统进行公示。</w:t>
      </w:r>
      <w:r>
        <w:rPr>
          <w:rFonts w:hint="eastAsia"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28.2 谈判文件、成交供应商的响应文件及谈判过程中有关澄清、承诺文件均作为合同附件。</w:t>
      </w:r>
      <w:r/>
    </w:p>
    <w:p>
      <w:pPr>
        <w:pStyle w:val="860"/>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60"/>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860"/>
        <w:ind w:firstLine="420"/>
        <w:rPr>
          <w:rFonts w:hint="eastAsia" w:ascii="宋体" w:hAnsi="宋体"/>
          <w:sz w:val="24"/>
          <w:szCs w:val="21"/>
        </w:rPr>
      </w:pPr>
      <w:r>
        <w:rPr>
          <w:rFonts w:hint="eastAsia" w:ascii="宋体" w:hAnsi="宋体"/>
          <w:sz w:val="24"/>
          <w:szCs w:val="21"/>
        </w:rPr>
        <w:t xml:space="preserve">29.1 政府</w:t>
      </w:r>
      <w:r>
        <w:rPr>
          <w:rFonts w:hint="eastAsia" w:ascii="宋体" w:hAnsi="宋体"/>
          <w:sz w:val="24"/>
          <w:szCs w:val="21"/>
        </w:rPr>
        <w:t xml:space="preserve">采购合同履行中，采购人需追加与合同标的相同的</w:t>
      </w:r>
      <w:r>
        <w:rPr>
          <w:rFonts w:hint="eastAsia" w:ascii="宋体" w:hAnsi="宋体" w:cs="Courier New"/>
          <w:sz w:val="24"/>
          <w:szCs w:val="24"/>
          <w:lang w:val="zh-CN"/>
        </w:rPr>
        <w:t xml:space="preserve">货物或服务（包含与货物相关的服务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sz w:val="24"/>
          <w:szCs w:val="21"/>
        </w:rPr>
        <w:t xml:space="preserve">，在不改变合同其他条款的前提下，可以与成交供应商协商签订补充合同，但所有补充合同的金额不超过原合同金额10%。</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pStyle w:val="860"/>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60"/>
        <w:ind w:firstLine="420"/>
        <w:rPr>
          <w:rFonts w:hint="eastAsia"/>
          <w:lang w:val="zh-CN"/>
        </w:rPr>
      </w:pPr>
      <w:r>
        <w:rPr>
          <w:rFonts w:hint="eastAsia" w:ascii="宋体" w:hAnsi="宋体"/>
          <w:sz w:val="24"/>
        </w:rPr>
        <w:t xml:space="preserve">30.2 依据《关于在全省政府采购领域推行电子履约保函（保险）的通知》（苏财购〔2023〕150号），需要缴纳履约保证金的，成交供应商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w:t>
      </w:r>
      <w:r>
        <w:rPr>
          <w:rFonts w:hint="eastAsia" w:ascii="宋体" w:hAnsi="宋体"/>
          <w:sz w:val="24"/>
        </w:rPr>
        <w:t xml:space="preserve">上办理履约保函（保险）</w:t>
      </w:r>
      <w:r>
        <w:rPr>
          <w:rFonts w:hint="eastAsia" w:ascii="宋体" w:hAnsi="宋体"/>
          <w:sz w:val="24"/>
          <w:lang w:val="zh-CN"/>
        </w:rPr>
        <w:t xml:space="preserve">。</w:t>
      </w:r>
      <w:r>
        <w:rPr>
          <w:rFonts w:hint="eastAsia"/>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86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w:t>
      </w:r>
      <w:r>
        <w:rPr>
          <w:rFonts w:hint="eastAsia" w:ascii="宋体" w:hAnsi="宋体"/>
          <w:sz w:val="24"/>
          <w:lang w:val="zh-CN"/>
        </w:rPr>
        <w:t xml:space="preserve">程提出质疑的，为各采购程序环节结束之日。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pStyle w:val="8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860"/>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0"/>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w:t>
      </w:r>
      <w:r>
        <w:rPr>
          <w:rFonts w:hint="eastAsia" w:ascii="宋体" w:hAnsi="宋体"/>
          <w:sz w:val="24"/>
          <w:lang w:val="zh-CN"/>
        </w:rPr>
        <w:t xml:space="preserve">实、提供虚假材料进行恶意质疑。否则，一经查实，交易中心或采购人有权依据政府采购的有关规定，报请政府采购监管部门对该供应商进行相应的行政处罚和记录该供应商的失信信息。</w:t>
      </w:r>
      <w:r/>
    </w:p>
    <w:p>
      <w:pPr>
        <w:pStyle w:val="8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pStyle w:val="860"/>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在政府采购活动中，供应商提供的货物或者服务符合下列情形的，享受中小企业扶持政策：</w:t>
      </w:r>
      <w:r/>
    </w:p>
    <w:p>
      <w:pPr>
        <w:pStyle w:val="860"/>
        <w:ind w:firstLine="420"/>
        <w:rPr>
          <w:rFonts w:hint="eastAsia" w:ascii="宋体" w:hAnsi="宋体"/>
          <w:sz w:val="24"/>
          <w:lang w:val="zh-CN"/>
        </w:rPr>
      </w:pPr>
      <w:r>
        <w:rPr>
          <w:rFonts w:hint="eastAsia" w:ascii="宋体" w:hAnsi="宋体"/>
          <w:sz w:val="24"/>
          <w:lang w:val="zh-CN"/>
        </w:rPr>
        <w:t xml:space="preserve">（1）在货物</w:t>
      </w:r>
      <w:r>
        <w:rPr>
          <w:rFonts w:hint="eastAsia" w:ascii="宋体" w:hAnsi="宋体"/>
          <w:sz w:val="24"/>
        </w:rPr>
        <w:t xml:space="preserve">采购</w:t>
      </w:r>
      <w:r>
        <w:rPr>
          <w:rFonts w:hint="eastAsia" w:ascii="宋体" w:hAnsi="宋体"/>
          <w:sz w:val="24"/>
          <w:lang w:val="zh-CN"/>
        </w:rPr>
        <w:t xml:space="preserve">项目中，</w:t>
      </w:r>
      <w:r>
        <w:rPr>
          <w:rFonts w:hint="eastAsia" w:ascii="宋体" w:hAnsi="宋体"/>
          <w:sz w:val="24"/>
        </w:rPr>
        <w:t xml:space="preserve">全部</w:t>
      </w:r>
      <w:r>
        <w:rPr>
          <w:rFonts w:hint="eastAsia" w:ascii="宋体" w:hAnsi="宋体"/>
          <w:sz w:val="24"/>
          <w:lang w:val="zh-CN"/>
        </w:rPr>
        <w:t xml:space="preserve">货物由中小企业制造；</w:t>
      </w:r>
      <w:r/>
    </w:p>
    <w:p>
      <w:pPr>
        <w:pStyle w:val="860"/>
        <w:ind w:firstLine="420"/>
        <w:rPr>
          <w:rFonts w:hint="eastAsia" w:ascii="宋体" w:hAnsi="宋体"/>
          <w:sz w:val="24"/>
          <w:lang w:val="zh-CN"/>
        </w:rPr>
      </w:pPr>
      <w:r>
        <w:rPr>
          <w:rFonts w:hint="eastAsia" w:ascii="宋体" w:hAnsi="宋体"/>
          <w:sz w:val="24"/>
          <w:lang w:val="zh-CN"/>
        </w:rPr>
        <w:t xml:space="preserve">（2）在服务</w:t>
      </w:r>
      <w:r>
        <w:rPr>
          <w:rFonts w:hint="eastAsia" w:ascii="宋体" w:hAnsi="宋体"/>
          <w:sz w:val="24"/>
        </w:rPr>
        <w:t xml:space="preserve">采购</w:t>
      </w:r>
      <w:r>
        <w:rPr>
          <w:rFonts w:hint="eastAsia" w:ascii="宋体" w:hAnsi="宋体"/>
          <w:sz w:val="24"/>
          <w:lang w:val="zh-CN"/>
        </w:rPr>
        <w:t xml:space="preserve">项目中，服务由中小企业承接。</w:t>
      </w:r>
      <w:r/>
    </w:p>
    <w:p>
      <w:pPr>
        <w:pStyle w:val="860"/>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w:t>
      </w:r>
      <w:r>
        <w:rPr>
          <w:rFonts w:hint="eastAsia" w:ascii="宋体" w:hAnsi="宋体"/>
          <w:sz w:val="24"/>
          <w:lang w:val="zh-CN"/>
        </w:rPr>
        <w:t xml:space="preserve">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60"/>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w:t>
      </w:r>
      <w:r>
        <w:rPr>
          <w:rFonts w:hint="eastAsia" w:ascii="宋体" w:hAnsi="宋体"/>
          <w:sz w:val="24"/>
          <w:lang w:val="zh-CN"/>
        </w:rPr>
        <w:t xml:space="preserve">件表述不一致或者有明显文字错误等情况的，应当以书面形式要求供应商作出必要的澄清、说明或者补正。</w:t>
      </w:r>
      <w:r/>
    </w:p>
    <w:p>
      <w:pPr>
        <w:pStyle w:val="860"/>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w:t>
      </w:r>
      <w:r>
        <w:rPr>
          <w:rFonts w:hint="eastAsia" w:ascii="宋体" w:hAnsi="宋体" w:cs="宋体"/>
          <w:sz w:val="24"/>
          <w:szCs w:val="24"/>
        </w:rPr>
        <w:t xml:space="preserve">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w:t>
      </w:r>
      <w:r>
        <w:rPr>
          <w:rFonts w:hint="eastAsia" w:ascii="宋体" w:hAnsi="宋体"/>
          <w:sz w:val="24"/>
        </w:rPr>
        <w:t xml:space="preserve">准的最新版本认证的环境标志产品。国家对品目清单进行调整的，按照最新的品目清单执行。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860"/>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sz w:val="24"/>
        </w:rPr>
        <w:t xml:space="preserve">第五章成交标准</w:t>
      </w:r>
      <w:r>
        <w:rPr>
          <w:rFonts w:hint="eastAsia" w:ascii="宋体" w:hAnsi="宋体"/>
          <w:sz w:val="24"/>
          <w:lang w:val="zh-CN"/>
        </w:rPr>
        <w:t xml:space="preserve">）。</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w:t>
      </w:r>
      <w:r>
        <w:rPr>
          <w:rFonts w:hint="eastAsia" w:ascii="宋体"/>
          <w:bCs/>
          <w:sz w:val="24"/>
          <w:szCs w:val="24"/>
        </w:rPr>
        <w:t xml:space="preserve">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w:t>
      </w:r>
      <w:r>
        <w:rPr>
          <w:rFonts w:hint="eastAsia" w:ascii="宋体" w:hAnsi="宋体"/>
          <w:sz w:val="24"/>
        </w:rPr>
        <w:t xml:space="preserve">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60"/>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w:t>
      </w:r>
      <w:r>
        <w:rPr>
          <w:rFonts w:hint="eastAsia" w:ascii="宋体" w:hAnsi="宋体"/>
          <w:sz w:val="24"/>
        </w:rPr>
        <w:t xml:space="preserve">严格执行。</w:t>
      </w:r>
      <w:r/>
    </w:p>
    <w:p>
      <w:pPr>
        <w:pStyle w:val="860"/>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w:t>
      </w:r>
      <w:r>
        <w:rPr>
          <w:rFonts w:hint="eastAsia" w:ascii="宋体" w:hAnsi="宋体"/>
          <w:sz w:val="24"/>
        </w:rPr>
        <w:t xml:space="preserve">照采购合同约定对供应商所提供的上述产品进行验收，必要时可以委托依法取得检测、认证资质的机构进行检测、认证。</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0"/>
        <w:ind w:firstLine="420"/>
        <w:widowControl/>
        <w:rPr>
          <w:rFonts w:hint="eastAsia" w:ascii="宋体" w:hAnsi="宋体"/>
          <w:sz w:val="24"/>
          <w:lang w:val="zh-CN"/>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lang w:val="zh-CN"/>
        </w:rPr>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w:t>
      </w:r>
      <w:r>
        <w:rPr>
          <w:rFonts w:hint="eastAsia" w:ascii="宋体" w:hAnsi="宋体"/>
          <w:sz w:val="24"/>
          <w:lang w:val="zh-CN"/>
        </w:rPr>
        <w:t xml:space="preserve">计算机信息系统安全专用产品销售许可证》，且在有效期内。采购人、成交供应商双方签订合同及验收环节，应包含上述网络安全要求的条款。</w:t>
      </w:r>
      <w:r/>
    </w:p>
    <w:p>
      <w:pPr>
        <w:pStyle w:val="860"/>
        <w:ind w:firstLine="420"/>
        <w:rPr>
          <w:rFonts w:hint="eastAsia" w:ascii="宋体" w:hAnsi="宋体"/>
          <w:sz w:val="24"/>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w:t>
      </w:r>
      <w:r>
        <w:rPr>
          <w:rFonts w:hint="eastAsia" w:ascii="宋体" w:hAnsi="宋体"/>
          <w:sz w:val="24"/>
          <w:lang w:val="zh-CN"/>
        </w:rPr>
        <w:t xml:space="preserve">及验收环节，应包含上述市场准入类资质要求的条款。</w:t>
      </w:r>
      <w:r>
        <w:rPr>
          <w:rFonts w:hint="eastAsia" w:ascii="宋体" w:hAnsi="宋体"/>
          <w:sz w:val="24"/>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pStyle w:val="860"/>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43.2本国产品应当符合以下条件：</w:t>
      </w:r>
      <w:r/>
    </w:p>
    <w:p>
      <w:pPr>
        <w:pStyle w:val="860"/>
        <w:ind w:firstLine="420"/>
        <w:rPr>
          <w:rFonts w:hint="eastAsia" w:ascii="宋体" w:hAnsi="宋体"/>
          <w:sz w:val="24"/>
          <w:lang w:val="zh-CN"/>
        </w:rPr>
      </w:pPr>
      <w:r>
        <w:rPr>
          <w:rFonts w:hint="eastAsia" w:ascii="宋体" w:hAnsi="宋体"/>
          <w:sz w:val="24"/>
          <w:lang w:val="zh-CN"/>
        </w:rPr>
        <w:t xml:space="preserve">（1）在中国境内生产</w:t>
      </w:r>
      <w:r/>
    </w:p>
    <w:p>
      <w:pPr>
        <w:pStyle w:val="860"/>
        <w:ind w:firstLine="420"/>
        <w:rPr>
          <w:rFonts w:hint="eastAsia" w:ascii="宋体" w:hAnsi="宋体"/>
          <w:sz w:val="24"/>
          <w:lang w:val="zh-CN"/>
        </w:rPr>
      </w:pPr>
      <w:r>
        <w:rPr>
          <w:rFonts w:hint="eastAsia" w:ascii="宋体" w:hAnsi="宋体"/>
          <w:sz w:val="24"/>
          <w:lang w:val="zh-CN"/>
        </w:rPr>
        <w:t xml:space="preserve">产品应当在中国境内生</w:t>
      </w:r>
      <w:r>
        <w:rPr>
          <w:rFonts w:hint="eastAsia" w:ascii="宋体" w:hAnsi="宋体"/>
          <w:sz w:val="24"/>
          <w:lang w:val="zh-CN"/>
        </w:rPr>
        <w:t xml:space="preserve">产，即在中华人民共和国关境内实现从原材料、组件到产品的属性改变。属性改变具体定义和标准详见《国务院办公厅关于在政府采购中实施本国产品标准及相关政策的通知》（国办发〔2025〕34号）规定。</w:t>
      </w:r>
      <w:r/>
    </w:p>
    <w:p>
      <w:pPr>
        <w:pStyle w:val="860"/>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0"/>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860"/>
        <w:ind w:firstLine="420"/>
        <w:rPr>
          <w:rFonts w:hint="eastAsia" w:ascii="宋体" w:hAnsi="宋体"/>
          <w:sz w:val="24"/>
          <w:lang w:val="zh-CN"/>
        </w:rPr>
      </w:pPr>
      <w:r>
        <w:rPr>
          <w:rFonts w:hint="eastAsia" w:ascii="宋体" w:hAnsi="宋体"/>
          <w:sz w:val="24"/>
          <w:lang w:val="zh-CN"/>
        </w:rPr>
        <w:t xml:space="preserve">比例计算公式详见《国务院办公厅</w:t>
      </w:r>
      <w:r>
        <w:rPr>
          <w:rFonts w:hint="eastAsia" w:ascii="宋体" w:hAnsi="宋体"/>
          <w:sz w:val="24"/>
          <w:lang w:val="zh-CN"/>
        </w:rPr>
        <w:t xml:space="preserve">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860"/>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pStyle w:val="860"/>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pStyle w:val="860"/>
        <w:ind w:firstLine="420"/>
        <w:rPr>
          <w:rFonts w:hint="eastAsia" w:ascii="宋体" w:hAnsi="宋体"/>
          <w:sz w:val="24"/>
          <w:lang w:val="zh-CN"/>
        </w:rPr>
      </w:pPr>
      <w:r>
        <w:rPr>
          <w:rFonts w:hint="eastAsia" w:ascii="宋体" w:hAnsi="宋体"/>
          <w:sz w:val="24"/>
          <w:lang w:val="zh-CN"/>
        </w:rPr>
        <w:t xml:space="preserve">43.3本国产品标准的适用范围</w:t>
      </w:r>
      <w:r/>
    </w:p>
    <w:p>
      <w:pPr>
        <w:pStyle w:val="860"/>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0"/>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0"/>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0"/>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0"/>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w:t>
      </w:r>
      <w:r>
        <w:rPr>
          <w:rFonts w:hint="eastAsia" w:ascii="宋体" w:hAnsi="宋体"/>
          <w:sz w:val="24"/>
          <w:lang w:val="zh-CN"/>
        </w:rPr>
        <w:t xml:space="preserve">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pStyle w:val="860"/>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860"/>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60"/>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3"/>
        <w:ind w:firstLine="880"/>
        <w:rPr>
          <w:rFonts w:ascii="黑体" w:hAnsi="Courier New" w:eastAsia="黑体" w:cs="Courier New"/>
          <w:bCs/>
          <w:sz w:val="44"/>
          <w:szCs w:val="21"/>
        </w:rPr>
      </w:pPr>
      <w:r>
        <w:rPr>
          <w:rFonts w:ascii="黑体" w:hAnsi="Courier New" w:eastAsia="黑体" w:cs="Courier New"/>
          <w:bCs/>
          <w:sz w:val="44"/>
          <w:szCs w:val="21"/>
        </w:rPr>
      </w:r>
      <w:r/>
    </w:p>
    <w:p>
      <w:pPr>
        <w:pStyle w:val="860"/>
        <w:rPr>
          <w:rFonts w:ascii="黑体" w:hAnsi="Courier New" w:eastAsia="黑体" w:cs="Courier New"/>
          <w:bCs/>
          <w:sz w:val="44"/>
          <w:szCs w:val="21"/>
        </w:rPr>
      </w:pPr>
      <w:r>
        <w:rPr>
          <w:rFonts w:ascii="黑体" w:hAnsi="Courier New" w:eastAsia="黑体" w:cs="Courier New"/>
          <w:bCs/>
          <w:sz w:val="44"/>
          <w:szCs w:val="21"/>
        </w:rPr>
      </w:r>
      <w:r/>
    </w:p>
    <w:p>
      <w:pPr>
        <w:pStyle w:val="873"/>
        <w:ind w:firstLine="880"/>
        <w:rPr>
          <w:rFonts w:ascii="黑体" w:hAnsi="Courier New" w:eastAsia="黑体" w:cs="Courier New"/>
          <w:bCs/>
          <w:sz w:val="44"/>
          <w:szCs w:val="21"/>
        </w:rPr>
      </w:pPr>
      <w:r>
        <w:rPr>
          <w:rFonts w:ascii="黑体" w:hAnsi="Courier New" w:eastAsia="黑体" w:cs="Courier New"/>
          <w:bCs/>
          <w:sz w:val="44"/>
          <w:szCs w:val="21"/>
        </w:rPr>
      </w:r>
      <w:r/>
    </w:p>
    <w:p>
      <w:pPr>
        <w:pStyle w:val="860"/>
      </w:pPr>
      <w:r/>
      <w:r/>
    </w:p>
    <w:p>
      <w:pPr>
        <w:pStyle w:val="860"/>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60"/>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第三章  合同文本</w:t>
      </w:r>
      <w:r/>
    </w:p>
    <w:p>
      <w:pPr>
        <w:pStyle w:val="860"/>
        <w:ind w:firstLine="480"/>
        <w:rPr>
          <w:rFonts w:hint="eastAsia" w:ascii="宋体" w:hAnsi="宋体"/>
          <w:bCs/>
          <w:sz w:val="24"/>
          <w:szCs w:val="21"/>
        </w:rPr>
      </w:pPr>
      <w:r/>
      <w:bookmarkStart w:id="161" w:name="_Toc16938559"/>
      <w:r/>
      <w:bookmarkStart w:id="162" w:name="_Toc20823315"/>
      <w:r/>
      <w:bookmarkStart w:id="163" w:name="_Toc513029243"/>
      <w:r>
        <w:rPr>
          <w:rFonts w:hint="eastAsia" w:ascii="宋体" w:hAnsi="宋体"/>
          <w:bCs/>
          <w:sz w:val="24"/>
          <w:szCs w:val="21"/>
        </w:rPr>
        <w:t xml:space="preserve">以下为本项目的合同条款，合同双方不得对谈判、响应文件内容作</w:t>
      </w:r>
      <w:r>
        <w:rPr>
          <w:rFonts w:hint="eastAsia" w:ascii="宋体" w:hAnsi="宋体"/>
          <w:bCs/>
          <w:sz w:val="24"/>
          <w:szCs w:val="21"/>
        </w:rPr>
        <w:t xml:space="preserve">实质性修改。</w:t>
      </w:r>
      <w:r/>
    </w:p>
    <w:p>
      <w:pPr>
        <w:pStyle w:val="860"/>
        <w:jc w:val="center"/>
        <w:spacing w:before="145" w:after="145"/>
        <w:rPr>
          <w:rFonts w:hint="eastAsia" w:ascii="宋体" w:hAnsi="宋体"/>
          <w:b/>
          <w:sz w:val="30"/>
          <w:szCs w:val="21"/>
        </w:rPr>
      </w:pPr>
      <w:r>
        <w:rPr>
          <w:rFonts w:hint="eastAsia" w:ascii="宋体" w:hAnsi="宋体"/>
          <w:b/>
          <w:sz w:val="30"/>
          <w:szCs w:val="21"/>
        </w:rPr>
      </w:r>
      <w:r/>
    </w:p>
    <w:p>
      <w:pPr>
        <w:pStyle w:val="860"/>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w:t>
      </w:r>
      <w:r/>
    </w:p>
    <w:p>
      <w:pPr>
        <w:pStyle w:val="860"/>
        <w:jc w:val="left"/>
        <w:spacing w:before="145" w:after="145"/>
        <w:rPr>
          <w:rFonts w:ascii="宋体" w:hAnsi="宋体" w:cs="Courier New"/>
          <w:sz w:val="24"/>
          <w:szCs w:val="24"/>
        </w:rPr>
      </w:pPr>
      <w:r>
        <w:rPr>
          <w:rFonts w:ascii="宋体" w:hAnsi="宋体" w:cs="Courier New"/>
          <w:sz w:val="24"/>
          <w:szCs w:val="24"/>
        </w:rPr>
        <w:t xml:space="preserve">合同编号：</w:t>
      </w:r>
      <w:r/>
    </w:p>
    <w:p>
      <w:pPr>
        <w:pStyle w:val="860"/>
        <w:spacing w:before="145" w:after="145"/>
        <w:rPr>
          <w:rFonts w:ascii="宋体" w:hAnsi="宋体" w:cs="Courier New"/>
          <w:sz w:val="24"/>
          <w:szCs w:val="24"/>
        </w:rPr>
      </w:pPr>
      <w:r>
        <w:rPr>
          <w:rFonts w:ascii="宋体" w:hAnsi="宋体" w:cs="Courier New"/>
          <w:sz w:val="24"/>
          <w:szCs w:val="24"/>
        </w:rPr>
        <w:t xml:space="preserve">项目名称：                                       项目编号：</w:t>
      </w:r>
      <w:r/>
    </w:p>
    <w:p>
      <w:pPr>
        <w:pStyle w:val="860"/>
        <w:jc w:val="left"/>
        <w:spacing w:before="145" w:after="145"/>
        <w:rPr>
          <w:rFonts w:ascii="宋体" w:hAnsi="宋体" w:cs="Courier New"/>
          <w:sz w:val="24"/>
          <w:szCs w:val="24"/>
        </w:rPr>
      </w:pPr>
      <w:r>
        <w:rPr>
          <w:rFonts w:ascii="宋体" w:hAnsi="宋体" w:cs="Courier New"/>
          <w:sz w:val="24"/>
          <w:szCs w:val="24"/>
        </w:rPr>
        <w:t xml:space="preserve">甲方（买方）：</w:t>
      </w:r>
      <w:r/>
    </w:p>
    <w:p>
      <w:pPr>
        <w:pStyle w:val="860"/>
        <w:jc w:val="left"/>
        <w:spacing w:before="145" w:after="145"/>
        <w:rPr>
          <w:rFonts w:ascii="宋体" w:hAnsi="宋体" w:cs="Courier New"/>
          <w:sz w:val="24"/>
          <w:szCs w:val="24"/>
        </w:rPr>
      </w:pPr>
      <w:r>
        <w:rPr>
          <w:rFonts w:ascii="宋体" w:hAnsi="宋体" w:cs="Courier New"/>
          <w:sz w:val="24"/>
          <w:szCs w:val="24"/>
        </w:rPr>
        <w:t xml:space="preserve">乙方（卖方）：</w:t>
      </w:r>
      <w:r/>
    </w:p>
    <w:p>
      <w:pPr>
        <w:pStyle w:val="860"/>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ascii="宋体" w:hAnsi="宋体" w:cs="宋体"/>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竞争性谈判</w:t>
      </w:r>
      <w:r>
        <w:rPr>
          <w:rFonts w:ascii="宋体" w:hAnsi="宋体" w:cs="Courier New"/>
          <w:sz w:val="24"/>
          <w:szCs w:val="24"/>
        </w:rPr>
        <w:t xml:space="preserve">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6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hint="eastAsia" w:ascii="宋体" w:hAnsi="宋体" w:cs="Courier New"/>
          <w:sz w:val="24"/>
          <w:szCs w:val="24"/>
        </w:rPr>
        <w:t xml:space="preserve">。</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按谈判文件及响应文件执行。</w:t>
      </w:r>
      <w:r/>
    </w:p>
    <w:p>
      <w:pPr>
        <w:pStyle w:val="860"/>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谈判</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2"/>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0"/>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乙方应按谈判文件规定的时间向甲方提供</w:t>
      </w:r>
      <w:r>
        <w:rPr>
          <w:rFonts w:hint="eastAsia" w:ascii="宋体" w:hAnsi="宋体" w:cs="Courier New"/>
          <w:sz w:val="24"/>
          <w:szCs w:val="24"/>
          <w:lang w:val="zh-CN"/>
        </w:rPr>
        <w:t xml:space="preserve">货物、服务（</w:t>
      </w:r>
      <w:r>
        <w:rPr>
          <w:rFonts w:hint="eastAsia" w:ascii="宋体" w:hAnsi="宋体" w:cs="Courier New"/>
          <w:sz w:val="24"/>
          <w:szCs w:val="24"/>
          <w:lang w:val="zh-CN"/>
        </w:rPr>
        <w:t xml:space="preserve">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的有关技术资料。</w:t>
      </w:r>
      <w:r/>
    </w:p>
    <w:p>
      <w:pPr>
        <w:pStyle w:val="860"/>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0"/>
        <w:rPr>
          <w:rFonts w:hint="eastAsia" w:ascii="宋体" w:hAnsi="宋体" w:cs="Courier New"/>
          <w:sz w:val="24"/>
          <w:szCs w:val="24"/>
        </w:rPr>
      </w:pPr>
      <w:r>
        <w:rPr>
          <w:rFonts w:hint="eastAsia" w:ascii="宋体" w:hAnsi="宋体" w:cs="Courier New"/>
          <w:sz w:val="24"/>
          <w:szCs w:val="24"/>
        </w:rPr>
        <w:t xml:space="preserve">4.1 乙方应保证甲方在使用、接受本合同</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或其任何一部分时不受第三方提出侵犯其专利权、著作权、商标权、工业设计权、商业秘密等知识产权的起诉。一旦出现侵权，由乙方负全部责任。</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0"/>
        <w:rPr>
          <w:rFonts w:hint="eastAsia" w:ascii="宋体" w:hAnsi="宋体" w:cs="Courier New"/>
          <w:sz w:val="24"/>
          <w:szCs w:val="24"/>
        </w:rPr>
      </w:pPr>
      <w:r>
        <w:rPr>
          <w:rFonts w:hint="eastAsia" w:ascii="宋体" w:hAnsi="宋体" w:cs="Courier New"/>
          <w:sz w:val="24"/>
          <w:szCs w:val="24"/>
        </w:rPr>
        <w:t xml:space="preserve">5.1 乙方保证所交付的</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的所有权完全属于乙方且无任何抵押、查封等产权瑕疵。</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0"/>
        <w:rPr>
          <w:rFonts w:hint="eastAsia" w:ascii="宋体" w:hAnsi="宋体" w:cs="Courier New"/>
          <w:sz w:val="24"/>
          <w:szCs w:val="24"/>
        </w:rPr>
        <w:outlineLvl w:val="3"/>
      </w:pPr>
      <w:r>
        <w:rPr>
          <w:rFonts w:hint="eastAsia" w:ascii="宋体" w:hAnsi="宋体" w:cs="Courier New"/>
          <w:sz w:val="24"/>
          <w:szCs w:val="24"/>
        </w:rPr>
        <w:t xml:space="preserve">6.1</w:t>
      </w:r>
      <w:r>
        <w:rPr>
          <w:rFonts w:hint="eastAsia" w:ascii="宋体" w:hAnsi="宋体" w:cs="Courier New"/>
          <w:sz w:val="24"/>
          <w:szCs w:val="24"/>
        </w:rPr>
        <w:t xml:space="preserve"> 本项目乙方无需缴纳履约保证金。</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860"/>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860"/>
        <w:rPr>
          <w:rFonts w:hint="eastAsia" w:ascii="宋体" w:hAnsi="宋体" w:cs="Courier New"/>
          <w:sz w:val="24"/>
          <w:szCs w:val="24"/>
        </w:rPr>
      </w:pPr>
      <w:r>
        <w:rPr>
          <w:rFonts w:hint="eastAsia" w:ascii="宋体" w:hAnsi="宋体" w:cs="Courier New"/>
          <w:sz w:val="24"/>
          <w:szCs w:val="24"/>
        </w:rPr>
        <w:t xml:space="preserve">7.2 除谈判文件接受分包并经甲方同意，乙方可按分包意向协议分包情况外，乙方不得将合同标的分包给他人履行。</w:t>
      </w:r>
      <w:r/>
    </w:p>
    <w:p>
      <w:pPr>
        <w:pStyle w:val="860"/>
        <w:rPr>
          <w:rFonts w:hint="eastAsia" w:ascii="宋体" w:hAnsi="宋体" w:cs="Courier New"/>
          <w:sz w:val="24"/>
          <w:szCs w:val="24"/>
        </w:rPr>
      </w:pPr>
      <w:r>
        <w:rPr>
          <w:rFonts w:hint="eastAsia" w:ascii="宋体" w:hAnsi="宋体" w:cs="Courier New"/>
          <w:sz w:val="24"/>
          <w:szCs w:val="24"/>
        </w:rPr>
        <w:t xml:space="preserve">7.3 乙方如有转包或未经甲</w:t>
      </w:r>
      <w:r>
        <w:rPr>
          <w:rFonts w:hint="eastAsia" w:ascii="宋体" w:hAnsi="宋体" w:cs="Courier New"/>
          <w:sz w:val="24"/>
          <w:szCs w:val="24"/>
        </w:rPr>
        <w:t xml:space="preserve">方同意的分包行为，甲方有权终止合同。</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2"/>
        <w:rPr>
          <w:rFonts w:hint="eastAsia" w:hAnsi="宋体"/>
          <w:sz w:val="24"/>
          <w:szCs w:val="24"/>
        </w:rPr>
        <w:outlineLvl w:val="3"/>
      </w:pPr>
      <w:r>
        <w:rPr>
          <w:rFonts w:hint="eastAsia" w:hAnsi="宋体"/>
          <w:sz w:val="24"/>
          <w:szCs w:val="24"/>
        </w:rPr>
        <w:t xml:space="preserve">8.1 合同款项的支付方式及时间</w:t>
      </w:r>
      <w:r/>
    </w:p>
    <w:p>
      <w:pPr>
        <w:pStyle w:val="860"/>
        <w:rPr>
          <w:rFonts w:ascii="宋体" w:hAnsi="宋体" w:cs="Courier New"/>
          <w:sz w:val="24"/>
          <w:szCs w:val="24"/>
        </w:rPr>
      </w:pPr>
      <w:r>
        <w:rPr>
          <w:rFonts w:ascii="宋体" w:hAnsi="宋体" w:cs="Courier New"/>
          <w:sz w:val="24"/>
          <w:szCs w:val="24"/>
        </w:rPr>
        <w:t xml:space="preserve">8.1.1 合同签订后，甲方支付合同总价款的30%作为预付款。</w:t>
      </w:r>
      <w:r/>
    </w:p>
    <w:p>
      <w:pPr>
        <w:pStyle w:val="860"/>
        <w:rPr>
          <w:rFonts w:ascii="宋体" w:hAnsi="宋体" w:cs="Courier New"/>
          <w:sz w:val="24"/>
          <w:szCs w:val="24"/>
        </w:rPr>
      </w:pPr>
      <w:r>
        <w:rPr>
          <w:rFonts w:ascii="宋体" w:hAnsi="宋体" w:cs="Courier New"/>
          <w:sz w:val="24"/>
          <w:szCs w:val="24"/>
        </w:rPr>
        <w:t xml:space="preserve">8.1.2 开发服务完成并交付，甲方支付合同总价款的40%。</w:t>
      </w:r>
      <w:r/>
    </w:p>
    <w:p>
      <w:pPr>
        <w:pStyle w:val="860"/>
        <w:rPr>
          <w:rFonts w:ascii="宋体" w:hAnsi="宋体" w:cs="Courier New"/>
          <w:sz w:val="24"/>
          <w:szCs w:val="24"/>
        </w:rPr>
      </w:pPr>
      <w:r>
        <w:rPr>
          <w:rFonts w:ascii="宋体" w:hAnsi="宋体" w:cs="Courier New"/>
          <w:sz w:val="24"/>
          <w:szCs w:val="24"/>
        </w:rPr>
        <w:t xml:space="preserve">8.1.3 系统部署完成并调试合格，甲方支付合同总价款的30%。</w:t>
      </w:r>
      <w:r/>
    </w:p>
    <w:p>
      <w:pPr>
        <w:pStyle w:val="902"/>
        <w:rPr>
          <w:rFonts w:hint="eastAsia" w:hAnsi="宋体"/>
          <w:sz w:val="24"/>
          <w:szCs w:val="24"/>
        </w:rPr>
      </w:pPr>
      <w:r>
        <w:rPr>
          <w:rFonts w:hint="eastAsia" w:hAnsi="宋体"/>
          <w:sz w:val="24"/>
          <w:szCs w:val="24"/>
        </w:rPr>
        <w:t xml:space="preserve">8.1.4 满足合同约定支付条件的，甲方收到乙方发票后10个工作日内，将资金支付到合同约定的乙方账户。 </w:t>
      </w:r>
      <w:r/>
    </w:p>
    <w:p>
      <w:pPr>
        <w:pStyle w:val="902"/>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02"/>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0"/>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pStyle w:val="860"/>
        <w:rPr>
          <w:rFonts w:hint="eastAsia" w:ascii="宋体" w:hAnsi="宋体" w:cs="Courier New"/>
          <w:sz w:val="24"/>
          <w:szCs w:val="24"/>
        </w:rPr>
      </w:pPr>
      <w:r>
        <w:rPr>
          <w:rFonts w:hint="eastAsia" w:ascii="宋体" w:hAnsi="宋体" w:cs="Courier New"/>
          <w:sz w:val="24"/>
          <w:szCs w:val="24"/>
        </w:rPr>
        <w:t xml:space="preserve">10.1 乙方应按谈判文件规定的货物性能、技术要求、质量标准向甲方提供未经使用的全新产品。</w:t>
      </w:r>
      <w:r/>
    </w:p>
    <w:p>
      <w:pPr>
        <w:pStyle w:val="860"/>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pStyle w:val="860"/>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pStyle w:val="860"/>
        <w:rPr>
          <w:rFonts w:hint="eastAsia" w:ascii="宋体" w:hAnsi="宋体" w:cs="Courier New"/>
          <w:sz w:val="24"/>
          <w:szCs w:val="24"/>
        </w:rPr>
      </w:pPr>
      <w:r>
        <w:rPr>
          <w:rFonts w:hint="eastAsia" w:ascii="宋体" w:hAnsi="宋体" w:cs="Courier New"/>
          <w:sz w:val="24"/>
          <w:szCs w:val="24"/>
        </w:rPr>
        <w:t xml:space="preserve">10.2.2 贬值处理：由甲乙双</w:t>
      </w:r>
      <w:r>
        <w:rPr>
          <w:rFonts w:hint="eastAsia" w:ascii="宋体" w:hAnsi="宋体" w:cs="Courier New"/>
          <w:sz w:val="24"/>
          <w:szCs w:val="24"/>
        </w:rPr>
        <w:t xml:space="preserve">方合议定价。</w:t>
      </w:r>
      <w:r/>
    </w:p>
    <w:p>
      <w:pPr>
        <w:pStyle w:val="860"/>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pStyle w:val="860"/>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p>
    <w:p>
      <w:pPr>
        <w:pStyle w:val="860"/>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pStyle w:val="860"/>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年，因人为因素出现的故障不在质保范围内。超过质保期的乙方负责终生维修，维修时只收取部件成本费。</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pStyle w:val="860"/>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860"/>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60"/>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860"/>
        <w:rPr>
          <w:rFonts w:hint="eastAsia" w:ascii="宋体" w:hAnsi="宋体" w:cs="Courier New"/>
          <w:sz w:val="24"/>
          <w:szCs w:val="24"/>
        </w:rPr>
      </w:pPr>
      <w:r>
        <w:rPr>
          <w:rFonts w:hint="eastAsia" w:ascii="宋体" w:hAnsi="宋体" w:cs="Courier New"/>
          <w:sz w:val="24"/>
          <w:szCs w:val="24"/>
        </w:rPr>
        <w:t xml:space="preserve">11.4 如有必要，甲方可邀请参加本项目谈判的其他供应商或第三方专业机构及专家参与验收，相关意见将作为验收结论的参考。</w:t>
      </w:r>
      <w:r/>
    </w:p>
    <w:p>
      <w:pPr>
        <w:pStyle w:val="860"/>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甲方成立验收小组，按照采购合同约定对乙方履约情况进行验收。验收时间、验收标准见谈判文件。验收</w:t>
      </w:r>
      <w:r>
        <w:rPr>
          <w:rFonts w:hint="eastAsia" w:ascii="宋体" w:hAnsi="宋体" w:cs="Courier New"/>
          <w:sz w:val="24"/>
          <w:szCs w:val="24"/>
        </w:rPr>
        <w:t xml:space="preserve">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pStyle w:val="860"/>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0"/>
        <w:spacing w:line="264" w:lineRule="auto"/>
        <w:rPr>
          <w:rFonts w:hint="eastAsia"/>
        </w:rPr>
      </w:pPr>
      <w:r>
        <w:rPr>
          <w:rFonts w:hint="eastAsia" w:ascii="宋体" w:hAnsi="宋体" w:cs="Courier New"/>
          <w:sz w:val="24"/>
          <w:szCs w:val="24"/>
        </w:rPr>
        <w:t xml:space="preserve">11.7</w:t>
      </w:r>
      <w:r>
        <w:rPr>
          <w:rFonts w:hint="eastAsia" w:ascii="宋体" w:hAnsi="宋体" w:cs="Courier New"/>
          <w:sz w:val="24"/>
          <w:szCs w:val="24"/>
        </w:rPr>
        <w:t xml:space="preserve"> </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rPr>
          <w:rFonts w:hint="eastAsia"/>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pStyle w:val="86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pStyle w:val="860"/>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pStyle w:val="860"/>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pStyle w:val="860"/>
        <w:rPr>
          <w:rFonts w:hint="eastAsia" w:ascii="宋体" w:hAnsi="宋体" w:cs="Courier New"/>
          <w:sz w:val="24"/>
          <w:szCs w:val="24"/>
        </w:rPr>
      </w:pPr>
      <w:r>
        <w:rPr>
          <w:rFonts w:hint="eastAsia" w:ascii="宋体" w:hAnsi="宋体" w:cs="Courier New"/>
          <w:sz w:val="24"/>
          <w:szCs w:val="24"/>
        </w:rPr>
        <w:t xml:space="preserve">12.4 货物在交付甲方前发生的风险均由</w:t>
      </w:r>
      <w:r>
        <w:rPr>
          <w:rFonts w:hint="eastAsia" w:ascii="宋体" w:hAnsi="宋体" w:cs="Courier New"/>
          <w:sz w:val="24"/>
          <w:szCs w:val="24"/>
        </w:rPr>
        <w:t xml:space="preserve">乙方负责。</w:t>
      </w:r>
      <w:r/>
    </w:p>
    <w:p>
      <w:pPr>
        <w:pStyle w:val="860"/>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pStyle w:val="860"/>
        <w:rPr>
          <w:rFonts w:hint="eastAsia" w:ascii="宋体" w:hAnsi="宋体" w:cs="Courier New"/>
          <w:sz w:val="24"/>
          <w:szCs w:val="24"/>
        </w:rPr>
      </w:pPr>
      <w:r>
        <w:rPr>
          <w:rFonts w:hint="eastAsia" w:ascii="宋体" w:hAnsi="宋体" w:cs="Courier New"/>
          <w:sz w:val="24"/>
          <w:szCs w:val="24"/>
        </w:rPr>
        <w:t xml:space="preserve">13.1 甲方无正当理由拒收货物或服务</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20%  </w:t>
      </w:r>
      <w:r>
        <w:rPr>
          <w:rFonts w:hint="eastAsia" w:ascii="宋体" w:hAnsi="宋体" w:cs="Courier New"/>
          <w:sz w:val="24"/>
          <w:szCs w:val="24"/>
        </w:rPr>
        <w:t xml:space="preserve">的违约金。</w:t>
      </w:r>
      <w:r/>
    </w:p>
    <w:p>
      <w:pPr>
        <w:pStyle w:val="860"/>
        <w:rPr>
          <w:rFonts w:hint="eastAsia" w:ascii="宋体" w:hAnsi="宋体" w:cs="Courier New"/>
          <w:sz w:val="24"/>
          <w:szCs w:val="24"/>
        </w:rPr>
      </w:pPr>
      <w:r>
        <w:rPr>
          <w:rFonts w:hint="eastAsia" w:ascii="宋体" w:hAnsi="宋体" w:cs="Courier New"/>
          <w:sz w:val="24"/>
          <w:szCs w:val="24"/>
        </w:rPr>
        <w:t xml:space="preserve">13.2 甲方无故逾期验收和办理款项支付手续的，应按逾期付款总额每日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20%   </w:t>
      </w:r>
      <w:r>
        <w:rPr>
          <w:rFonts w:ascii="宋体" w:hAnsi="宋体" w:cs="宋体"/>
          <w:sz w:val="24"/>
          <w:szCs w:val="24"/>
        </w:rPr>
        <w:t xml:space="preserve">%。</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13.3 乙方逾期交付</w:t>
      </w:r>
      <w:r>
        <w:rPr>
          <w:rFonts w:hint="eastAsia" w:ascii="宋体" w:hAnsi="宋体" w:cs="Courier New"/>
          <w:sz w:val="24"/>
          <w:szCs w:val="24"/>
        </w:rPr>
        <w:t xml:space="preserve">货物或服务</w:t>
      </w:r>
      <w:r>
        <w:rPr>
          <w:rFonts w:hint="eastAsia" w:ascii="宋体" w:hAnsi="宋体" w:cs="Courier New"/>
          <w:sz w:val="24"/>
          <w:szCs w:val="24"/>
        </w:rPr>
        <w:t xml:space="preserve">的，应按逾期交付总额每日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向甲方支付违约金，由甲方从待付款项中扣除。逾期超过约定日期10个工作日不能交付的，甲方可解除本合同。乙方因逾期交付或因其他违约行为导致甲方解除合同的，应向甲方支付合同总价</w:t>
      </w:r>
      <w:r>
        <w:rPr>
          <w:rFonts w:hint="eastAsia" w:ascii="宋体" w:hAnsi="宋体" w:cs="Courier New"/>
          <w:sz w:val="24"/>
          <w:szCs w:val="24"/>
          <w:u w:val="single"/>
        </w:rPr>
        <w:t xml:space="preserve">  20%  </w:t>
      </w:r>
      <w:r>
        <w:rPr>
          <w:rFonts w:hint="eastAsia" w:ascii="宋体" w:hAnsi="宋体" w:cs="Courier New"/>
          <w:sz w:val="24"/>
          <w:szCs w:val="24"/>
        </w:rPr>
        <w:t xml:space="preserve">的违约金</w:t>
      </w:r>
      <w:r>
        <w:rPr>
          <w:rFonts w:hint="eastAsia" w:ascii="宋体" w:hAnsi="宋体" w:cs="Courier New"/>
          <w:sz w:val="24"/>
          <w:szCs w:val="24"/>
        </w:rPr>
        <w:t xml:space="preserve">。 </w:t>
      </w:r>
      <w:r/>
    </w:p>
    <w:p>
      <w:pPr>
        <w:pStyle w:val="860"/>
        <w:rPr>
          <w:rFonts w:hint="eastAsia" w:ascii="宋体" w:hAnsi="宋体" w:cs="Courier New"/>
          <w:sz w:val="24"/>
          <w:szCs w:val="24"/>
        </w:rPr>
      </w:pPr>
      <w:r>
        <w:rPr>
          <w:rFonts w:hint="eastAsia" w:ascii="宋体" w:hAnsi="宋体" w:cs="Courier New"/>
          <w:sz w:val="24"/>
          <w:szCs w:val="24"/>
        </w:rPr>
        <w:t xml:space="preserve">13.4 乙方所交付货物或服务的品种、型号、规格、技术参数、质量不符合合同规定及采购文件规定标准的，甲方有权拒收该货物或服务，乙方愿意更换货物或服务但逾期交货的，按乙方逾期交付处理。乙方拒绝更换货物或服务的，甲方可单方面解除合同。</w:t>
      </w:r>
      <w:r/>
    </w:p>
    <w:p>
      <w:pPr>
        <w:pStyle w:val="860"/>
        <w:rPr>
          <w:rFonts w:hint="eastAsia"/>
        </w:rPr>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w:t>
      </w:r>
      <w:r>
        <w:rPr>
          <w:rFonts w:hint="eastAsia" w:ascii="宋体" w:hAnsi="宋体" w:cs="Courier New"/>
          <w:sz w:val="24"/>
          <w:szCs w:val="24"/>
        </w:rPr>
        <w:t xml:space="preserve">期可得利益损失以及为实现债权而产生的费用（包括但不限于诉讼费、保全费、保全担保费、律师费、公证费、鉴定费、差旅费）。</w:t>
      </w:r>
      <w:r>
        <w:rPr>
          <w:rFonts w:hint="eastAsia"/>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pStyle w:val="860"/>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pStyle w:val="860"/>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pStyle w:val="860"/>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pStyle w:val="860"/>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pStyle w:val="860"/>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pStyle w:val="860"/>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pStyle w:val="860"/>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r/>
    </w:p>
    <w:p>
      <w:pPr>
        <w:pStyle w:val="902"/>
        <w:spacing w:before="120" w:after="120"/>
        <w:rPr>
          <w:rFonts w:hint="eastAsia" w:hAnsi="宋体"/>
          <w:sz w:val="24"/>
          <w:szCs w:val="24"/>
        </w:rPr>
      </w:pPr>
      <w:r/>
      <w:bookmarkEnd w:id="161"/>
      <w:r/>
      <w:bookmarkEnd w:id="162"/>
      <w:r/>
      <w:bookmarkEnd w:id="163"/>
      <w:r>
        <w:rPr>
          <w:rFonts w:hint="eastAsia" w:hAnsi="宋体"/>
          <w:sz w:val="24"/>
          <w:szCs w:val="24"/>
        </w:rPr>
        <w:t xml:space="preserve">  </w:t>
      </w:r>
      <w:r/>
    </w:p>
    <w:p>
      <w:pPr>
        <w:pStyle w:val="902"/>
        <w:spacing w:before="120" w:after="120"/>
        <w:rPr>
          <w:rFonts w:hint="eastAsia" w:hAnsi="宋体"/>
          <w:sz w:val="24"/>
          <w:szCs w:val="24"/>
        </w:rPr>
      </w:pPr>
      <w:r>
        <w:rPr>
          <w:rFonts w:hint="eastAsia" w:hAnsi="宋体"/>
          <w:sz w:val="24"/>
          <w:szCs w:val="24"/>
        </w:rPr>
        <w:t xml:space="preserve">甲  方：（公章）                       乙  方：（公章） </w:t>
      </w:r>
      <w:r/>
    </w:p>
    <w:p>
      <w:pPr>
        <w:pStyle w:val="902"/>
        <w:spacing w:before="120" w:after="120"/>
        <w:rPr>
          <w:rFonts w:hint="eastAsia" w:hAnsi="宋体"/>
          <w:sz w:val="24"/>
          <w:szCs w:val="24"/>
        </w:rPr>
      </w:pPr>
      <w:r>
        <w:rPr>
          <w:rFonts w:hint="eastAsia" w:hAnsi="宋体"/>
          <w:sz w:val="24"/>
          <w:szCs w:val="24"/>
        </w:rPr>
        <w:t xml:space="preserve">地  址：                               地  址： </w:t>
      </w:r>
      <w:r/>
    </w:p>
    <w:p>
      <w:pPr>
        <w:pStyle w:val="902"/>
        <w:spacing w:before="120" w:after="120"/>
        <w:rPr>
          <w:rFonts w:hint="eastAsia" w:hAnsi="宋体"/>
          <w:sz w:val="24"/>
          <w:szCs w:val="24"/>
        </w:rPr>
      </w:pPr>
      <w:r>
        <w:rPr>
          <w:rFonts w:hint="eastAsia" w:hAnsi="宋体"/>
          <w:sz w:val="24"/>
          <w:szCs w:val="24"/>
        </w:rPr>
        <w:t xml:space="preserve">法定代表人或授权代表：                 法定代</w:t>
      </w:r>
      <w:r>
        <w:rPr>
          <w:rFonts w:hint="eastAsia" w:hAnsi="宋体"/>
          <w:sz w:val="24"/>
          <w:szCs w:val="24"/>
        </w:rPr>
        <w:t xml:space="preserve">表人或授权代表：</w:t>
      </w:r>
      <w:r/>
    </w:p>
    <w:p>
      <w:pPr>
        <w:pStyle w:val="902"/>
        <w:spacing w:before="120" w:after="120"/>
        <w:rPr>
          <w:rFonts w:hint="eastAsia" w:hAnsi="宋体"/>
          <w:sz w:val="24"/>
          <w:szCs w:val="24"/>
        </w:rPr>
      </w:pPr>
      <w:r>
        <w:rPr>
          <w:rFonts w:hint="eastAsia" w:hAnsi="宋体"/>
          <w:sz w:val="24"/>
          <w:szCs w:val="24"/>
        </w:rPr>
        <w:t xml:space="preserve">联系电话：                             联系电话：          </w:t>
      </w:r>
      <w:r/>
    </w:p>
    <w:p>
      <w:pPr>
        <w:pStyle w:val="902"/>
        <w:spacing w:before="120" w:after="120"/>
        <w:rPr>
          <w:rFonts w:hint="eastAsia" w:hAnsi="宋体"/>
          <w:sz w:val="24"/>
          <w:szCs w:val="24"/>
        </w:rPr>
      </w:pPr>
      <w:r>
        <w:rPr>
          <w:rFonts w:hint="eastAsia" w:hAnsi="宋体"/>
          <w:sz w:val="24"/>
          <w:szCs w:val="24"/>
        </w:rPr>
        <w:t xml:space="preserve">                                          </w:t>
      </w:r>
      <w:r/>
    </w:p>
    <w:p>
      <w:pPr>
        <w:pStyle w:val="902"/>
        <w:ind w:firstLine="4800"/>
        <w:spacing w:before="120" w:after="120"/>
        <w:rPr>
          <w:rFonts w:hint="eastAsia" w:hAnsi="宋体"/>
          <w:sz w:val="24"/>
          <w:szCs w:val="24"/>
        </w:rPr>
      </w:pPr>
      <w:r>
        <w:rPr>
          <w:rFonts w:hint="eastAsia" w:hAnsi="宋体"/>
          <w:sz w:val="24"/>
          <w:szCs w:val="24"/>
        </w:rPr>
        <w:t xml:space="preserve">签订日期：      </w:t>
      </w:r>
      <w:r/>
    </w:p>
    <w:p>
      <w:pPr>
        <w:pStyle w:val="860"/>
        <w:jc w:val="center"/>
        <w:spacing w:before="145" w:after="145"/>
        <w:rPr>
          <w:rFonts w:hint="eastAsia" w:ascii="宋体" w:hAnsi="宋体"/>
          <w:b/>
          <w:sz w:val="30"/>
          <w:szCs w:val="21"/>
        </w:rPr>
      </w:pPr>
      <w:r>
        <w:rPr>
          <w:rFonts w:hint="eastAsia" w:ascii="宋体" w:hAnsi="宋体"/>
          <w:b/>
          <w:sz w:val="30"/>
          <w:szCs w:val="21"/>
        </w:rPr>
      </w:r>
      <w:r/>
    </w:p>
    <w:p>
      <w:pPr>
        <w:pStyle w:val="860"/>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60"/>
        <w:jc w:val="center"/>
        <w:spacing w:before="145" w:after="145"/>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902"/>
        <w:jc w:val="left"/>
        <w:spacing w:before="120" w:after="120"/>
        <w:rPr>
          <w:rFonts w:hAnsi="宋体"/>
          <w:sz w:val="24"/>
          <w:szCs w:val="24"/>
        </w:rPr>
      </w:pPr>
      <w:r>
        <w:rPr>
          <w:rFonts w:hint="eastAsia" w:hAnsi="宋体"/>
          <w:sz w:val="24"/>
          <w:szCs w:val="24"/>
        </w:rPr>
        <w:t xml:space="preserve">   谈判文件及合同未约定事项，双方可友好协商签订补充协议。</w:t>
      </w:r>
      <w:r>
        <w:rPr>
          <w:rFonts w:hAnsi="宋体"/>
          <w:sz w:val="24"/>
          <w:szCs w:val="24"/>
        </w:rPr>
      </w:r>
      <w:r/>
    </w:p>
    <w:p>
      <w:pPr>
        <w:pStyle w:val="860"/>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58"/>
      <w:r>
        <w:rPr>
          <w:rFonts w:hint="eastAsia" w:ascii="方正小标宋简体" w:hAnsi="方正小标宋简体" w:eastAsia="方正小标宋简体" w:cs="方正小标宋简体"/>
          <w:sz w:val="36"/>
          <w:szCs w:val="36"/>
        </w:rPr>
        <w:t xml:space="preserve">四章 采购需求</w:t>
      </w:r>
      <w:bookmarkEnd w:id="155"/>
      <w:r/>
      <w:bookmarkEnd w:id="159"/>
      <w:r/>
      <w:bookmarkEnd w:id="160"/>
      <w:r/>
      <w:bookmarkStart w:id="164" w:name="_Toc26554093"/>
      <w:r/>
      <w:bookmarkStart w:id="165" w:name="_Toc49090575"/>
      <w:r>
        <w:rPr>
          <w:rFonts w:hint="eastAsia" w:ascii="黑体" w:hAnsi="Courier New" w:eastAsia="黑体" w:cs="Courier New"/>
          <w:bCs/>
          <w:sz w:val="44"/>
          <w:szCs w:val="21"/>
        </w:rPr>
      </w:r>
      <w:r/>
    </w:p>
    <w:p>
      <w:pPr>
        <w:pStyle w:val="860"/>
        <w:ind w:firstLine="480"/>
        <w:spacing w:line="264" w:lineRule="auto"/>
        <w:rPr>
          <w:rFonts w:hint="eastAsia" w:ascii="宋体" w:hAnsi="宋体" w:cs="宋体"/>
          <w:bCs/>
          <w:sz w:val="24"/>
          <w:szCs w:val="24"/>
        </w:rPr>
      </w:pPr>
      <w:r>
        <w:rPr>
          <w:rFonts w:hint="eastAsia" w:ascii="黑体" w:hAnsi="黑体" w:eastAsia="黑体" w:cs="黑体"/>
          <w:sz w:val="24"/>
          <w:szCs w:val="24"/>
        </w:rPr>
        <w:t xml:space="preserve">一、项目属性：</w:t>
      </w:r>
      <w:r>
        <w:rPr>
          <w:rFonts w:hint="eastAsia" w:ascii="宋体" w:hAnsi="宋体" w:cs="宋体"/>
          <w:bCs/>
          <w:sz w:val="24"/>
          <w:szCs w:val="24"/>
        </w:rPr>
        <w:t xml:space="preserve">服务类项目。</w:t>
      </w:r>
      <w:r>
        <w:rPr>
          <w:rFonts w:hint="eastAsia" w:ascii="宋体" w:hAnsi="宋体" w:cs="宋体"/>
          <w:bCs/>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（一）项目背景</w:t>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为构建面向异构解耦存算资源的存算驱动模块，实现异构计算、内存资源的逻辑解耦与弹性组合，支撑原生开放智能的算网操作系统，采购人已先行采购了完整的硬件实验平台。本次软件开发服务须基于已有硬件环境，完成CXL交换控制、共享内存管理、Fabric管控、内存动态扩缩及异构CPU适配等核心软件模块的设计、开发、部署与联调。供应商须充分理解硬件平台架构与接口，交付一套完整、可运行的存算资源池化软件系统。</w:t>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（二）项目建设遵循标准</w:t>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支持CXL 2.0交换功能，包括CrossBar交换、拓扑发现、端口映射、查表引擎、流控算法等；</w:t>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支持CXL共享内存管理功能；</w:t>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支持Fabric管理与控制功能，包括驱动程序、FM交互、</w:t>
      </w:r>
      <w:r>
        <w:rPr>
          <w:rFonts w:ascii="宋体" w:hAnsi="宋体" w:cs="宋体"/>
          <w:bCs/>
          <w:sz w:val="24"/>
          <w:szCs w:val="24"/>
        </w:rPr>
        <w:t xml:space="preserve">资源管理等；</w:t>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内存资源动态扩缩；</w:t>
      </w:r>
      <w:r/>
    </w:p>
    <w:p>
      <w:pPr>
        <w:pStyle w:val="860"/>
        <w:ind w:firstLine="480"/>
        <w:spacing w:line="264" w:lineRule="auto"/>
        <w:rPr>
          <w:rFonts w:ascii="宋体" w:hAnsi="宋体" w:cs="宋体"/>
          <w:bCs/>
          <w:sz w:val="24"/>
          <w:szCs w:val="24"/>
        </w:rPr>
        <w:outlineLvl w:val="1"/>
      </w:pPr>
      <w:r>
        <w:rPr>
          <w:rFonts w:ascii="宋体" w:hAnsi="宋体" w:cs="宋体"/>
          <w:bCs/>
          <w:sz w:val="24"/>
          <w:szCs w:val="24"/>
        </w:rPr>
        <w:t xml:space="preserve">适配Intel和AMD CPU服务器。</w:t>
      </w:r>
      <w:r/>
    </w:p>
    <w:p>
      <w:pPr>
        <w:pStyle w:val="860"/>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rPr>
          <w:rFonts w:hint="eastAsia" w:ascii="宋体" w:hAnsi="宋体" w:cs="宋体"/>
          <w:bCs/>
          <w:sz w:val="24"/>
          <w:szCs w:val="24"/>
        </w:rPr>
      </w:r>
      <w:r/>
    </w:p>
    <w:tbl>
      <w:tblPr>
        <w:tblW w:w="5025" w:type="pct"/>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46"/>
        <w:gridCol w:w="2246"/>
        <w:gridCol w:w="836"/>
        <w:gridCol w:w="798"/>
        <w:gridCol w:w="1220"/>
        <w:gridCol w:w="1383"/>
        <w:gridCol w:w="1583"/>
        <w:gridCol w:w="996"/>
      </w:tblGrid>
      <w:tr>
        <w:trPr>
          <w:trHeight w:val="688"/>
        </w:trPr>
        <w:tc>
          <w:tcPr>
            <w:tcBorders>
              <w:top w:val="single" w:color="000000" w:sz="2" w:space="0"/>
              <w:bottom w:val="single" w:color="000000" w:sz="2" w:space="0"/>
            </w:tcBorders>
            <w:tcW w:w="380"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Borders>
              <w:top w:val="single" w:color="000000" w:sz="2" w:space="0"/>
              <w:bottom w:val="single" w:color="000000" w:sz="2" w:space="0"/>
            </w:tcBorders>
            <w:tcW w:w="114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Borders>
              <w:top w:val="single" w:color="000000" w:sz="2" w:space="0"/>
              <w:bottom w:val="single" w:color="000000" w:sz="2" w:space="0"/>
            </w:tcBorders>
            <w:tcW w:w="42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Borders>
              <w:top w:val="single" w:color="000000" w:sz="2" w:space="0"/>
              <w:bottom w:val="single" w:color="000000" w:sz="2" w:space="0"/>
            </w:tcBorders>
            <w:tcW w:w="40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Borders>
              <w:top w:val="single" w:color="000000" w:sz="2" w:space="0"/>
              <w:bottom w:val="single" w:color="000000" w:sz="2" w:space="0"/>
            </w:tcBorders>
            <w:tcW w:w="62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pStyle w:val="860"/>
              <w:jc w:val="center"/>
              <w:spacing w:line="264" w:lineRule="auto"/>
              <w:rPr>
                <w:rFonts w:hint="eastAsia"/>
              </w:rPr>
            </w:pPr>
            <w:r>
              <w:rPr>
                <w:rFonts w:hint="eastAsia" w:ascii="宋体" w:hAnsi="宋体" w:cs="宋体"/>
                <w:bCs/>
                <w:sz w:val="24"/>
                <w:szCs w:val="24"/>
              </w:rPr>
              <w:t xml:space="preserve">（元）</w:t>
            </w:r>
            <w:r>
              <w:rPr>
                <w:rFonts w:hint="eastAsia"/>
              </w:rPr>
            </w:r>
            <w:r/>
          </w:p>
        </w:tc>
        <w:tc>
          <w:tcPr>
            <w:tcBorders>
              <w:top w:val="single" w:color="000000" w:sz="2" w:space="0"/>
              <w:bottom w:val="single" w:color="000000" w:sz="2" w:space="0"/>
            </w:tcBorders>
            <w:tcW w:w="70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80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Borders>
              <w:top w:val="single" w:color="000000" w:sz="2" w:space="0"/>
              <w:bottom w:val="single" w:color="000000" w:sz="2" w:space="0"/>
              <w:right w:val="single" w:color="000000" w:sz="4" w:space="0"/>
            </w:tcBorders>
            <w:tcW w:w="50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r>
      <w:tr>
        <w:trPr>
          <w:trHeight w:val="660"/>
        </w:trPr>
        <w:tc>
          <w:tcPr>
            <w:tcBorders>
              <w:top w:val="single" w:color="000000" w:sz="2" w:space="0"/>
              <w:bottom w:val="single" w:color="000000" w:sz="2" w:space="0"/>
            </w:tcBorders>
            <w:tcW w:w="380"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1144" w:type="pct"/>
            <w:vAlign w:val="center"/>
            <w:textDirection w:val="lrTb"/>
            <w:noWrap w:val="false"/>
          </w:tcPr>
          <w:p>
            <w:pPr>
              <w:pStyle w:val="860"/>
              <w:spacing w:line="264" w:lineRule="auto"/>
              <w:rPr>
                <w:rFonts w:hint="eastAsia" w:ascii="宋体" w:hAnsi="宋体" w:cs="宋体"/>
                <w:bCs/>
                <w:sz w:val="24"/>
                <w:szCs w:val="24"/>
              </w:rPr>
            </w:pPr>
            <w:r>
              <w:rPr>
                <w:rFonts w:hint="eastAsia" w:ascii="宋体" w:hAnsi="宋体" w:cs="宋体"/>
                <w:sz w:val="23"/>
                <w:szCs w:val="23"/>
              </w:rPr>
              <w:t xml:space="preserve">支持CXL交换功能</w:t>
            </w:r>
            <w:r>
              <w:rPr>
                <w:rFonts w:hint="eastAsia" w:ascii="宋体" w:hAnsi="宋体" w:cs="宋体"/>
                <w:bCs/>
                <w:sz w:val="24"/>
                <w:szCs w:val="24"/>
              </w:rPr>
            </w:r>
            <w:r/>
          </w:p>
        </w:tc>
        <w:tc>
          <w:tcPr>
            <w:tcBorders>
              <w:top w:val="single" w:color="000000" w:sz="2" w:space="0"/>
              <w:bottom w:val="single" w:color="000000" w:sz="2" w:space="0"/>
            </w:tcBorders>
            <w:tcW w:w="42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Borders>
              <w:top w:val="single" w:color="000000" w:sz="2" w:space="0"/>
              <w:bottom w:val="single" w:color="000000" w:sz="2" w:space="0"/>
            </w:tcBorders>
            <w:tcW w:w="40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sz w:val="23"/>
                <w:szCs w:val="23"/>
              </w:rPr>
              <w:t xml:space="preserve">项</w:t>
            </w:r>
            <w:r>
              <w:rPr>
                <w:rFonts w:hint="eastAsia" w:ascii="宋体" w:hAnsi="宋体" w:cs="宋体"/>
                <w:bCs/>
                <w:sz w:val="24"/>
                <w:szCs w:val="24"/>
              </w:rPr>
            </w:r>
            <w:r/>
          </w:p>
        </w:tc>
        <w:tc>
          <w:tcPr>
            <w:tcBorders>
              <w:top w:val="single" w:color="000000" w:sz="2" w:space="0"/>
            </w:tcBorders>
            <w:tcW w:w="621" w:type="pct"/>
            <w:vAlign w:val="center"/>
            <w:textDirection w:val="lrTb"/>
            <w:noWrap w:val="false"/>
          </w:tcPr>
          <w:p>
            <w:pPr>
              <w:pStyle w:val="860"/>
              <w:jc w:val="center"/>
              <w:spacing w:line="264" w:lineRule="auto"/>
              <w:rPr>
                <w:rFonts w:ascii="宋体" w:hAnsi="宋体" w:cs="宋体"/>
                <w:bCs/>
                <w:sz w:val="24"/>
                <w:szCs w:val="24"/>
              </w:rPr>
            </w:pPr>
            <w:r>
              <w:rPr>
                <w:rFonts w:hint="eastAsia" w:ascii="宋体" w:hAnsi="宋体" w:cs="宋体"/>
                <w:bCs/>
                <w:sz w:val="24"/>
                <w:szCs w:val="24"/>
              </w:rPr>
              <w:t xml:space="preserve">10万</w:t>
            </w:r>
            <w:r>
              <w:rPr>
                <w:rFonts w:ascii="宋体" w:hAnsi="宋体" w:cs="宋体"/>
                <w:bCs/>
                <w:sz w:val="24"/>
                <w:szCs w:val="24"/>
              </w:rPr>
            </w:r>
            <w:r/>
          </w:p>
        </w:tc>
        <w:tc>
          <w:tcPr>
            <w:tcBorders>
              <w:top w:val="single" w:color="000000" w:sz="2" w:space="0"/>
              <w:bottom w:val="single" w:color="000000" w:sz="2" w:space="0"/>
            </w:tcBorders>
            <w:tcW w:w="70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80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sz w:val="23"/>
                <w:szCs w:val="23"/>
              </w:rPr>
              <w:t xml:space="preserve">软件和信息技术服务业</w:t>
            </w:r>
            <w:r>
              <w:rPr>
                <w:rFonts w:hint="eastAsia" w:ascii="宋体" w:hAnsi="宋体" w:cs="宋体"/>
                <w:bCs/>
                <w:sz w:val="24"/>
                <w:szCs w:val="24"/>
              </w:rPr>
            </w:r>
            <w:r/>
          </w:p>
        </w:tc>
        <w:tc>
          <w:tcPr>
            <w:tcBorders>
              <w:top w:val="single" w:color="000000" w:sz="2" w:space="0"/>
              <w:bottom w:val="single" w:color="000000" w:sz="2" w:space="0"/>
              <w:right w:val="single" w:color="000000" w:sz="4" w:space="0"/>
            </w:tcBorders>
            <w:tcW w:w="50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r>
        <w:trPr>
          <w:trHeight w:val="670"/>
        </w:trPr>
        <w:tc>
          <w:tcPr>
            <w:tcBorders>
              <w:top w:val="single" w:color="000000" w:sz="2" w:space="0"/>
              <w:bottom w:val="single" w:color="000000" w:sz="2" w:space="0"/>
            </w:tcBorders>
            <w:tcW w:w="380"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p>
        </w:tc>
        <w:tc>
          <w:tcPr>
            <w:tcBorders>
              <w:top w:val="single" w:color="000000" w:sz="2" w:space="0"/>
              <w:bottom w:val="single" w:color="000000" w:sz="2" w:space="0"/>
            </w:tcBorders>
            <w:tcW w:w="1144" w:type="pct"/>
            <w:vAlign w:val="center"/>
            <w:textDirection w:val="lrTb"/>
            <w:noWrap w:val="false"/>
          </w:tcPr>
          <w:p>
            <w:pPr>
              <w:pStyle w:val="860"/>
              <w:spacing w:line="264" w:lineRule="auto"/>
              <w:rPr>
                <w:rFonts w:hint="eastAsia" w:ascii="宋体" w:hAnsi="宋体" w:cs="宋体"/>
                <w:bCs/>
                <w:sz w:val="24"/>
                <w:szCs w:val="24"/>
              </w:rPr>
            </w:pPr>
            <w:r>
              <w:rPr>
                <w:rFonts w:hint="eastAsia" w:ascii="宋体" w:hAnsi="宋体" w:cs="宋体"/>
                <w:sz w:val="23"/>
                <w:szCs w:val="23"/>
              </w:rPr>
              <w:t xml:space="preserve">CXL共享内存管理功能</w:t>
            </w:r>
            <w:r>
              <w:rPr>
                <w:rFonts w:hint="eastAsia" w:ascii="宋体" w:hAnsi="宋体" w:cs="宋体"/>
                <w:bCs/>
                <w:sz w:val="24"/>
                <w:szCs w:val="24"/>
              </w:rPr>
            </w:r>
            <w:r/>
          </w:p>
        </w:tc>
        <w:tc>
          <w:tcPr>
            <w:tcBorders>
              <w:top w:val="single" w:color="000000" w:sz="2" w:space="0"/>
              <w:bottom w:val="single" w:color="000000" w:sz="2" w:space="0"/>
            </w:tcBorders>
            <w:tcW w:w="42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Borders>
              <w:top w:val="single" w:color="000000" w:sz="2" w:space="0"/>
              <w:bottom w:val="single" w:color="000000" w:sz="2" w:space="0"/>
            </w:tcBorders>
            <w:tcW w:w="40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sz w:val="23"/>
                <w:szCs w:val="23"/>
              </w:rPr>
              <w:t xml:space="preserve">项</w:t>
            </w:r>
            <w:r>
              <w:rPr>
                <w:rFonts w:hint="eastAsia" w:ascii="宋体" w:hAnsi="宋体" w:cs="宋体"/>
                <w:bCs/>
                <w:sz w:val="24"/>
                <w:szCs w:val="24"/>
              </w:rPr>
            </w:r>
            <w:r/>
          </w:p>
        </w:tc>
        <w:tc>
          <w:tcPr>
            <w:tcW w:w="62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10万</w:t>
            </w:r>
            <w:r>
              <w:rPr>
                <w:rFonts w:hint="eastAsia" w:ascii="宋体" w:hAnsi="宋体" w:cs="宋体"/>
                <w:bCs/>
                <w:sz w:val="24"/>
                <w:szCs w:val="24"/>
              </w:rPr>
            </w:r>
            <w:r/>
          </w:p>
        </w:tc>
        <w:tc>
          <w:tcPr>
            <w:tcBorders>
              <w:top w:val="single" w:color="000000" w:sz="2" w:space="0"/>
              <w:bottom w:val="single" w:color="000000" w:sz="2" w:space="0"/>
            </w:tcBorders>
            <w:tcW w:w="70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80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sz w:val="23"/>
                <w:szCs w:val="23"/>
              </w:rPr>
              <w:t xml:space="preserve">软件和信息技术服务业</w:t>
            </w:r>
            <w:r>
              <w:rPr>
                <w:rFonts w:hint="eastAsia" w:ascii="宋体" w:hAnsi="宋体" w:cs="宋体"/>
                <w:bCs/>
                <w:sz w:val="24"/>
                <w:szCs w:val="24"/>
              </w:rPr>
            </w:r>
            <w:r/>
          </w:p>
        </w:tc>
        <w:tc>
          <w:tcPr>
            <w:tcBorders>
              <w:top w:val="single" w:color="000000" w:sz="2" w:space="0"/>
              <w:bottom w:val="single" w:color="000000" w:sz="2" w:space="0"/>
              <w:right w:val="single" w:color="000000" w:sz="4" w:space="0"/>
            </w:tcBorders>
            <w:tcW w:w="50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r>
        <w:trPr>
          <w:trHeight w:val="670"/>
        </w:trPr>
        <w:tc>
          <w:tcPr>
            <w:tcBorders>
              <w:top w:val="single" w:color="000000" w:sz="2" w:space="0"/>
              <w:bottom w:val="single" w:color="000000" w:sz="2" w:space="0"/>
            </w:tcBorders>
            <w:tcW w:w="380"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p>
        </w:tc>
        <w:tc>
          <w:tcPr>
            <w:tcBorders>
              <w:top w:val="single" w:color="000000" w:sz="2" w:space="0"/>
              <w:bottom w:val="single" w:color="000000" w:sz="2" w:space="0"/>
            </w:tcBorders>
            <w:tcW w:w="1144" w:type="pct"/>
            <w:vAlign w:val="center"/>
            <w:textDirection w:val="lrTb"/>
            <w:noWrap w:val="false"/>
          </w:tcPr>
          <w:p>
            <w:pPr>
              <w:pStyle w:val="860"/>
              <w:spacing w:line="264" w:lineRule="auto"/>
              <w:rPr>
                <w:rFonts w:hint="eastAsia" w:ascii="宋体" w:hAnsi="宋体" w:cs="宋体"/>
                <w:bCs/>
                <w:sz w:val="24"/>
                <w:szCs w:val="24"/>
              </w:rPr>
            </w:pPr>
            <w:r>
              <w:rPr>
                <w:rFonts w:hint="eastAsia" w:ascii="宋体" w:hAnsi="宋体" w:cs="宋体"/>
                <w:sz w:val="23"/>
                <w:szCs w:val="23"/>
              </w:rPr>
              <w:t xml:space="preserve">Fabric管理与控制功能</w:t>
            </w:r>
            <w:r>
              <w:rPr>
                <w:rFonts w:hint="eastAsia" w:ascii="宋体" w:hAnsi="宋体" w:cs="宋体"/>
                <w:bCs/>
                <w:sz w:val="24"/>
                <w:szCs w:val="24"/>
              </w:rPr>
            </w:r>
            <w:r/>
          </w:p>
        </w:tc>
        <w:tc>
          <w:tcPr>
            <w:tcBorders>
              <w:top w:val="single" w:color="000000" w:sz="2" w:space="0"/>
              <w:bottom w:val="single" w:color="000000" w:sz="2" w:space="0"/>
            </w:tcBorders>
            <w:tcW w:w="42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Borders>
              <w:top w:val="single" w:color="000000" w:sz="2" w:space="0"/>
              <w:bottom w:val="single" w:color="000000" w:sz="2" w:space="0"/>
            </w:tcBorders>
            <w:tcW w:w="40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sz w:val="23"/>
                <w:szCs w:val="23"/>
              </w:rPr>
              <w:t xml:space="preserve">项</w:t>
            </w:r>
            <w:r>
              <w:rPr>
                <w:rFonts w:hint="eastAsia" w:ascii="宋体" w:hAnsi="宋体" w:cs="宋体"/>
                <w:bCs/>
                <w:sz w:val="24"/>
                <w:szCs w:val="24"/>
              </w:rPr>
            </w:r>
            <w:r/>
          </w:p>
        </w:tc>
        <w:tc>
          <w:tcPr>
            <w:tcW w:w="62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10万</w:t>
            </w:r>
            <w:r>
              <w:rPr>
                <w:rFonts w:hint="eastAsia" w:ascii="宋体" w:hAnsi="宋体" w:cs="宋体"/>
                <w:bCs/>
                <w:sz w:val="24"/>
                <w:szCs w:val="24"/>
              </w:rPr>
            </w:r>
            <w:r/>
          </w:p>
        </w:tc>
        <w:tc>
          <w:tcPr>
            <w:tcBorders>
              <w:top w:val="single" w:color="000000" w:sz="2" w:space="0"/>
              <w:bottom w:val="single" w:color="000000" w:sz="2" w:space="0"/>
            </w:tcBorders>
            <w:tcW w:w="70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80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sz w:val="23"/>
                <w:szCs w:val="23"/>
              </w:rPr>
              <w:t xml:space="preserve">软件和信息技术服务业</w:t>
            </w:r>
            <w:r>
              <w:rPr>
                <w:rFonts w:hint="eastAsia" w:ascii="宋体" w:hAnsi="宋体" w:cs="宋体"/>
                <w:bCs/>
                <w:sz w:val="24"/>
                <w:szCs w:val="24"/>
              </w:rPr>
            </w:r>
            <w:r/>
          </w:p>
        </w:tc>
        <w:tc>
          <w:tcPr>
            <w:tcBorders>
              <w:top w:val="single" w:color="000000" w:sz="2" w:space="0"/>
              <w:bottom w:val="single" w:color="000000" w:sz="2" w:space="0"/>
              <w:right w:val="single" w:color="000000" w:sz="4" w:space="0"/>
            </w:tcBorders>
            <w:tcW w:w="50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r>
        <w:trPr>
          <w:trHeight w:val="670"/>
        </w:trPr>
        <w:tc>
          <w:tcPr>
            <w:tcBorders>
              <w:top w:val="single" w:color="000000" w:sz="2" w:space="0"/>
              <w:bottom w:val="single" w:color="000000" w:sz="2" w:space="0"/>
            </w:tcBorders>
            <w:tcW w:w="380" w:type="pct"/>
            <w:vAlign w:val="center"/>
            <w:textDirection w:val="lrTb"/>
            <w:noWrap w:val="false"/>
          </w:tcPr>
          <w:p>
            <w:pPr>
              <w:pStyle w:val="860"/>
              <w:jc w:val="center"/>
              <w:spacing w:line="264" w:lineRule="auto"/>
              <w:rPr>
                <w:rFonts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r>
            <w:r/>
          </w:p>
        </w:tc>
        <w:tc>
          <w:tcPr>
            <w:tcBorders>
              <w:top w:val="single" w:color="000000" w:sz="2" w:space="0"/>
              <w:bottom w:val="single" w:color="000000" w:sz="2" w:space="0"/>
            </w:tcBorders>
            <w:tcW w:w="1144" w:type="pct"/>
            <w:vAlign w:val="center"/>
            <w:textDirection w:val="lrTb"/>
            <w:noWrap w:val="false"/>
          </w:tcPr>
          <w:p>
            <w:pPr>
              <w:pStyle w:val="860"/>
              <w:spacing w:line="264" w:lineRule="auto"/>
              <w:rPr>
                <w:rFonts w:hint="eastAsia" w:ascii="宋体" w:hAnsi="宋体" w:cs="宋体"/>
                <w:bCs/>
                <w:sz w:val="24"/>
                <w:szCs w:val="24"/>
              </w:rPr>
            </w:pPr>
            <w:r>
              <w:rPr>
                <w:rFonts w:hint="eastAsia" w:ascii="宋体" w:hAnsi="宋体" w:cs="宋体"/>
                <w:sz w:val="23"/>
                <w:szCs w:val="23"/>
              </w:rPr>
              <w:t xml:space="preserve">内存资源动态扩缩</w:t>
            </w:r>
            <w:r>
              <w:rPr>
                <w:rFonts w:hint="eastAsia" w:ascii="宋体" w:hAnsi="宋体" w:cs="宋体"/>
                <w:bCs/>
                <w:sz w:val="24"/>
                <w:szCs w:val="24"/>
              </w:rPr>
            </w:r>
            <w:r/>
          </w:p>
        </w:tc>
        <w:tc>
          <w:tcPr>
            <w:tcBorders>
              <w:top w:val="single" w:color="000000" w:sz="2" w:space="0"/>
              <w:bottom w:val="single" w:color="000000" w:sz="2" w:space="0"/>
            </w:tcBorders>
            <w:tcW w:w="42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Borders>
              <w:top w:val="single" w:color="000000" w:sz="2" w:space="0"/>
              <w:bottom w:val="single" w:color="000000" w:sz="2" w:space="0"/>
            </w:tcBorders>
            <w:tcW w:w="40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sz w:val="23"/>
                <w:szCs w:val="23"/>
              </w:rPr>
              <w:t xml:space="preserve">项</w:t>
            </w:r>
            <w:r>
              <w:rPr>
                <w:rFonts w:hint="eastAsia" w:ascii="宋体" w:hAnsi="宋体" w:cs="宋体"/>
                <w:bCs/>
                <w:sz w:val="24"/>
                <w:szCs w:val="24"/>
              </w:rPr>
            </w:r>
            <w:r/>
          </w:p>
        </w:tc>
        <w:tc>
          <w:tcPr>
            <w:tcW w:w="62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5万</w:t>
            </w:r>
            <w:r>
              <w:rPr>
                <w:rFonts w:hint="eastAsia" w:ascii="宋体" w:hAnsi="宋体" w:cs="宋体"/>
                <w:bCs/>
                <w:sz w:val="24"/>
                <w:szCs w:val="24"/>
              </w:rPr>
            </w:r>
            <w:r/>
          </w:p>
        </w:tc>
        <w:tc>
          <w:tcPr>
            <w:tcBorders>
              <w:top w:val="single" w:color="000000" w:sz="2" w:space="0"/>
              <w:bottom w:val="single" w:color="000000" w:sz="2" w:space="0"/>
            </w:tcBorders>
            <w:tcW w:w="70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80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sz w:val="23"/>
                <w:szCs w:val="23"/>
              </w:rPr>
              <w:t xml:space="preserve">软件和信息技术服务业</w:t>
            </w:r>
            <w:r>
              <w:rPr>
                <w:rFonts w:hint="eastAsia" w:ascii="宋体" w:hAnsi="宋体" w:cs="宋体"/>
                <w:bCs/>
                <w:sz w:val="24"/>
                <w:szCs w:val="24"/>
              </w:rPr>
            </w:r>
            <w:r/>
          </w:p>
        </w:tc>
        <w:tc>
          <w:tcPr>
            <w:tcBorders>
              <w:top w:val="single" w:color="000000" w:sz="2" w:space="0"/>
              <w:bottom w:val="single" w:color="000000" w:sz="2" w:space="0"/>
              <w:right w:val="single" w:color="000000" w:sz="4" w:space="0"/>
            </w:tcBorders>
            <w:tcW w:w="50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r>
        <w:trPr>
          <w:trHeight w:val="685"/>
        </w:trPr>
        <w:tc>
          <w:tcPr>
            <w:tcBorders>
              <w:top w:val="single" w:color="000000" w:sz="2" w:space="0"/>
              <w:bottom w:val="single" w:color="000000" w:sz="2" w:space="0"/>
            </w:tcBorders>
            <w:tcW w:w="380" w:type="pct"/>
            <w:vAlign w:val="center"/>
            <w:textDirection w:val="lrTb"/>
            <w:noWrap w:val="false"/>
          </w:tcPr>
          <w:p>
            <w:pPr>
              <w:pStyle w:val="860"/>
              <w:jc w:val="center"/>
              <w:spacing w:line="264" w:lineRule="auto"/>
              <w:rPr>
                <w:rFonts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r>
            <w:r/>
          </w:p>
        </w:tc>
        <w:tc>
          <w:tcPr>
            <w:tcBorders>
              <w:top w:val="single" w:color="000000" w:sz="2" w:space="0"/>
              <w:bottom w:val="single" w:color="000000" w:sz="2" w:space="0"/>
            </w:tcBorders>
            <w:tcW w:w="1144" w:type="pct"/>
            <w:vAlign w:val="center"/>
            <w:textDirection w:val="lrTb"/>
            <w:noWrap w:val="false"/>
          </w:tcPr>
          <w:p>
            <w:pPr>
              <w:pStyle w:val="860"/>
              <w:spacing w:line="264" w:lineRule="auto"/>
              <w:rPr>
                <w:rFonts w:hint="eastAsia" w:ascii="宋体" w:hAnsi="宋体" w:cs="宋体"/>
                <w:bCs/>
                <w:sz w:val="24"/>
                <w:szCs w:val="24"/>
              </w:rPr>
            </w:pPr>
            <w:r>
              <w:rPr>
                <w:rFonts w:hint="eastAsia" w:ascii="宋体" w:hAnsi="宋体" w:cs="宋体"/>
                <w:sz w:val="23"/>
                <w:szCs w:val="23"/>
              </w:rPr>
              <w:t xml:space="preserve">适配Intel与AMD CPU服务器</w:t>
            </w:r>
            <w:r>
              <w:rPr>
                <w:rFonts w:hint="eastAsia" w:ascii="宋体" w:hAnsi="宋体" w:cs="宋体"/>
                <w:bCs/>
                <w:sz w:val="24"/>
                <w:szCs w:val="24"/>
              </w:rPr>
            </w:r>
            <w:r/>
          </w:p>
        </w:tc>
        <w:tc>
          <w:tcPr>
            <w:tcBorders>
              <w:top w:val="single" w:color="000000" w:sz="2" w:space="0"/>
              <w:bottom w:val="single" w:color="000000" w:sz="2" w:space="0"/>
            </w:tcBorders>
            <w:tcW w:w="42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Borders>
              <w:top w:val="single" w:color="000000" w:sz="2" w:space="0"/>
              <w:bottom w:val="single" w:color="000000" w:sz="2" w:space="0"/>
            </w:tcBorders>
            <w:tcW w:w="40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sz w:val="23"/>
                <w:szCs w:val="23"/>
              </w:rPr>
              <w:t xml:space="preserve">项</w:t>
            </w:r>
            <w:r>
              <w:rPr>
                <w:rFonts w:hint="eastAsia" w:ascii="宋体" w:hAnsi="宋体" w:cs="宋体"/>
                <w:bCs/>
                <w:sz w:val="24"/>
                <w:szCs w:val="24"/>
              </w:rPr>
            </w:r>
            <w:r/>
          </w:p>
        </w:tc>
        <w:tc>
          <w:tcPr>
            <w:tcW w:w="62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15万</w:t>
            </w:r>
            <w:r>
              <w:rPr>
                <w:rFonts w:hint="eastAsia" w:ascii="宋体" w:hAnsi="宋体" w:cs="宋体"/>
                <w:bCs/>
                <w:sz w:val="24"/>
                <w:szCs w:val="24"/>
              </w:rPr>
            </w:r>
            <w:r/>
          </w:p>
        </w:tc>
        <w:tc>
          <w:tcPr>
            <w:tcBorders>
              <w:top w:val="single" w:color="000000" w:sz="2" w:space="0"/>
              <w:bottom w:val="single" w:color="000000" w:sz="2" w:space="0"/>
            </w:tcBorders>
            <w:tcW w:w="70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p>
        </w:tc>
        <w:tc>
          <w:tcPr>
            <w:tcBorders>
              <w:top w:val="single" w:color="000000" w:sz="2" w:space="0"/>
              <w:bottom w:val="single" w:color="000000" w:sz="2" w:space="0"/>
            </w:tcBorders>
            <w:tcW w:w="806"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sz w:val="23"/>
                <w:szCs w:val="23"/>
              </w:rPr>
              <w:t xml:space="preserve">软件和信息技术服务业</w:t>
            </w:r>
            <w:r>
              <w:rPr>
                <w:rFonts w:hint="eastAsia" w:ascii="宋体" w:hAnsi="宋体" w:cs="宋体"/>
                <w:bCs/>
                <w:sz w:val="24"/>
                <w:szCs w:val="24"/>
              </w:rPr>
            </w:r>
            <w:r/>
          </w:p>
        </w:tc>
        <w:tc>
          <w:tcPr>
            <w:tcBorders>
              <w:top w:val="single" w:color="000000" w:sz="2" w:space="0"/>
              <w:bottom w:val="single" w:color="000000" w:sz="2" w:space="0"/>
              <w:right w:val="single" w:color="000000" w:sz="4" w:space="0"/>
            </w:tcBorders>
            <w:tcW w:w="50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bl>
    <w:p>
      <w:pPr>
        <w:pStyle w:val="860"/>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四、拟采购产品需要满足的技术、商务要求</w:t>
      </w:r>
      <w:r>
        <w:rPr>
          <w:rFonts w:hint="eastAsia" w:ascii="宋体" w:hAnsi="宋体" w:cs="宋体"/>
          <w:b/>
          <w:sz w:val="24"/>
          <w:szCs w:val="24"/>
        </w:rPr>
      </w:r>
      <w:r/>
    </w:p>
    <w:p>
      <w:pPr>
        <w:pStyle w:val="860"/>
        <w:ind w:firstLine="480"/>
        <w:spacing w:line="264" w:lineRule="auto"/>
        <w:rPr>
          <w:rFonts w:ascii="宋体" w:hAnsi="宋体"/>
          <w:bCs/>
          <w:sz w:val="24"/>
        </w:rPr>
      </w:pPr>
      <w:r>
        <w:rPr>
          <w:rFonts w:ascii="宋体" w:hAnsi="宋体"/>
          <w:bCs/>
          <w:sz w:val="24"/>
        </w:rPr>
        <w:t xml:space="preserve">★（一）技术要求</w:t>
      </w:r>
      <w:r/>
    </w:p>
    <w:p>
      <w:pPr>
        <w:pStyle w:val="860"/>
        <w:ind w:firstLine="482"/>
        <w:spacing w:line="264" w:lineRule="auto"/>
        <w:rPr>
          <w:rFonts w:ascii="宋体" w:hAnsi="宋体"/>
          <w:b/>
          <w:bCs/>
          <w:sz w:val="24"/>
        </w:rPr>
      </w:pPr>
      <w:r>
        <w:rPr>
          <w:rFonts w:ascii="宋体" w:hAnsi="宋体"/>
          <w:b/>
          <w:bCs/>
          <w:sz w:val="24"/>
        </w:rPr>
        <w:t xml:space="preserve">（一）已有硬件平台说明</w:t>
      </w:r>
      <w:r/>
    </w:p>
    <w:p>
      <w:pPr>
        <w:pStyle w:val="860"/>
        <w:ind w:firstLine="480"/>
        <w:spacing w:line="264" w:lineRule="auto"/>
        <w:rPr>
          <w:rFonts w:ascii="宋体" w:hAnsi="宋体"/>
          <w:sz w:val="24"/>
        </w:rPr>
      </w:pPr>
      <w:r>
        <w:rPr>
          <w:rFonts w:ascii="宋体" w:hAnsi="宋体"/>
          <w:sz w:val="24"/>
        </w:rPr>
        <w:t xml:space="preserve">以下硬件设备均已采购并部署到位，供应商的软件开发须严格基于下述硬件环境。采购人将提供必要的硬件接口文档、寄存器手册及参考驱动。</w:t>
      </w:r>
      <w:r/>
    </w:p>
    <w:tbl>
      <w:tblPr>
        <w:tblW w:w="4998" w:type="pct"/>
        <w:tblInd w:w="23" w:type="dxa"/>
        <w:tblLayout w:type="autofit"/>
        <w:tblCellMar>
          <w:left w:w="108" w:type="dxa"/>
          <w:top w:w="0" w:type="dxa"/>
          <w:right w:w="108" w:type="dxa"/>
          <w:bottom w:w="0" w:type="dxa"/>
        </w:tblCellMar>
        <w:tblLook w:val="04A0" w:firstRow="1" w:lastRow="0" w:firstColumn="1" w:lastColumn="0" w:noHBand="0" w:noVBand="1"/>
      </w:tblPr>
      <w:tblGrid>
        <w:gridCol w:w="559"/>
        <w:gridCol w:w="1143"/>
        <w:gridCol w:w="700"/>
        <w:gridCol w:w="3260"/>
        <w:gridCol w:w="4110"/>
      </w:tblGrid>
      <w:tr>
        <w:trPr/>
        <w:tc>
          <w:tcPr>
            <w:tcBorders>
              <w:top w:val="single" w:color="002366" w:sz="6" w:space="0"/>
              <w:left w:val="single" w:color="002366" w:sz="6" w:space="0"/>
              <w:bottom w:val="single" w:color="002366" w:sz="6" w:space="0"/>
              <w:right w:val="single" w:color="002366" w:sz="6" w:space="0"/>
            </w:tcBorders>
            <w:tcMar>
              <w:left w:w="15" w:type="dxa"/>
              <w:top w:w="15" w:type="dxa"/>
              <w:right w:w="15" w:type="dxa"/>
              <w:bottom w:w="15" w:type="dxa"/>
            </w:tcMar>
            <w:tcW w:w="286" w:type="pct"/>
            <w:vAlign w:val="center"/>
            <w:textDirection w:val="lrTb"/>
            <w:noWrap w:val="false"/>
          </w:tcPr>
          <w:p>
            <w:pPr>
              <w:pStyle w:val="860"/>
              <w:spacing w:line="264" w:lineRule="auto"/>
              <w:rPr>
                <w:rFonts w:ascii="宋体" w:hAnsi="宋体"/>
                <w:b/>
                <w:bCs/>
                <w:sz w:val="24"/>
              </w:rPr>
            </w:pPr>
            <w:r>
              <w:rPr>
                <w:rFonts w:ascii="宋体" w:hAnsi="宋体"/>
                <w:b/>
                <w:bCs/>
                <w:sz w:val="24"/>
              </w:rPr>
              <w:t xml:space="preserve">序号</w:t>
            </w:r>
            <w:r/>
          </w:p>
        </w:tc>
        <w:tc>
          <w:tcPr>
            <w:tcBorders>
              <w:top w:val="single" w:color="002366" w:sz="6" w:space="0"/>
              <w:left w:val="none" w:color="000000" w:sz="4" w:space="0"/>
              <w:bottom w:val="single" w:color="002366" w:sz="6" w:space="0"/>
              <w:right w:val="single" w:color="002366" w:sz="6" w:space="0"/>
            </w:tcBorders>
            <w:tcMar>
              <w:left w:w="15" w:type="dxa"/>
              <w:top w:w="15" w:type="dxa"/>
              <w:right w:w="15" w:type="dxa"/>
              <w:bottom w:w="15" w:type="dxa"/>
            </w:tcMar>
            <w:tcW w:w="585" w:type="pct"/>
            <w:vAlign w:val="center"/>
            <w:textDirection w:val="lrTb"/>
            <w:noWrap w:val="false"/>
          </w:tcPr>
          <w:p>
            <w:pPr>
              <w:pStyle w:val="860"/>
              <w:spacing w:line="264" w:lineRule="auto"/>
              <w:rPr>
                <w:rFonts w:ascii="宋体" w:hAnsi="宋体"/>
                <w:b/>
                <w:bCs/>
                <w:sz w:val="24"/>
              </w:rPr>
            </w:pPr>
            <w:r>
              <w:rPr>
                <w:rFonts w:ascii="宋体" w:hAnsi="宋体"/>
                <w:b/>
                <w:bCs/>
                <w:sz w:val="24"/>
              </w:rPr>
              <w:t xml:space="preserve">设备名称</w:t>
            </w:r>
            <w:r/>
          </w:p>
        </w:tc>
        <w:tc>
          <w:tcPr>
            <w:tcBorders>
              <w:top w:val="single" w:color="002366" w:sz="6" w:space="0"/>
              <w:left w:val="none" w:color="000000" w:sz="4" w:space="0"/>
              <w:bottom w:val="single" w:color="002366" w:sz="6" w:space="0"/>
              <w:right w:val="single" w:color="002366" w:sz="6" w:space="0"/>
            </w:tcBorders>
            <w:tcMar>
              <w:left w:w="15" w:type="dxa"/>
              <w:top w:w="15" w:type="dxa"/>
              <w:right w:w="15" w:type="dxa"/>
              <w:bottom w:w="15" w:type="dxa"/>
            </w:tcMar>
            <w:tcW w:w="358" w:type="pct"/>
            <w:vAlign w:val="center"/>
            <w:textDirection w:val="lrTb"/>
            <w:noWrap w:val="false"/>
          </w:tcPr>
          <w:p>
            <w:pPr>
              <w:pStyle w:val="860"/>
              <w:spacing w:line="264" w:lineRule="auto"/>
              <w:rPr>
                <w:rFonts w:ascii="宋体" w:hAnsi="宋体"/>
                <w:b/>
                <w:bCs/>
                <w:sz w:val="24"/>
              </w:rPr>
            </w:pPr>
            <w:r>
              <w:rPr>
                <w:rFonts w:ascii="宋体" w:hAnsi="宋体"/>
                <w:b/>
                <w:bCs/>
                <w:sz w:val="24"/>
              </w:rPr>
              <w:t xml:space="preserve">数量</w:t>
            </w:r>
            <w:r/>
          </w:p>
        </w:tc>
        <w:tc>
          <w:tcPr>
            <w:tcBorders>
              <w:top w:val="single" w:color="002366" w:sz="6" w:space="0"/>
              <w:left w:val="none" w:color="000000" w:sz="4" w:space="0"/>
              <w:bottom w:val="single" w:color="002366" w:sz="6" w:space="0"/>
              <w:right w:val="single" w:color="002366" w:sz="6" w:space="0"/>
            </w:tcBorders>
            <w:tcMar>
              <w:left w:w="15" w:type="dxa"/>
              <w:top w:w="15" w:type="dxa"/>
              <w:right w:w="15" w:type="dxa"/>
              <w:bottom w:w="15" w:type="dxa"/>
            </w:tcMar>
            <w:tcW w:w="1668" w:type="pct"/>
            <w:vAlign w:val="center"/>
            <w:textDirection w:val="lrTb"/>
            <w:noWrap w:val="false"/>
          </w:tcPr>
          <w:p>
            <w:pPr>
              <w:pStyle w:val="860"/>
              <w:ind w:firstLine="482"/>
              <w:spacing w:line="264" w:lineRule="auto"/>
              <w:rPr>
                <w:rFonts w:ascii="宋体" w:hAnsi="宋体"/>
                <w:b/>
                <w:bCs/>
                <w:sz w:val="24"/>
              </w:rPr>
            </w:pPr>
            <w:r>
              <w:rPr>
                <w:rFonts w:ascii="宋体" w:hAnsi="宋体"/>
                <w:b/>
                <w:bCs/>
                <w:sz w:val="24"/>
              </w:rPr>
              <w:t xml:space="preserve">关键配置与接口</w:t>
            </w:r>
            <w:r/>
          </w:p>
        </w:tc>
        <w:tc>
          <w:tcPr>
            <w:tcBorders>
              <w:top w:val="single" w:color="002366" w:sz="6" w:space="0"/>
              <w:left w:val="none" w:color="000000" w:sz="4" w:space="0"/>
              <w:bottom w:val="single" w:color="002366" w:sz="6" w:space="0"/>
              <w:right w:val="single" w:color="002366" w:sz="6" w:space="0"/>
            </w:tcBorders>
            <w:tcMar>
              <w:left w:w="15" w:type="dxa"/>
              <w:top w:w="15" w:type="dxa"/>
              <w:right w:w="15" w:type="dxa"/>
              <w:bottom w:w="15" w:type="dxa"/>
            </w:tcMar>
            <w:tcW w:w="2103" w:type="pct"/>
            <w:vAlign w:val="center"/>
            <w:textDirection w:val="lrTb"/>
            <w:noWrap w:val="false"/>
          </w:tcPr>
          <w:p>
            <w:pPr>
              <w:pStyle w:val="860"/>
              <w:ind w:firstLine="482"/>
              <w:spacing w:line="264" w:lineRule="auto"/>
              <w:rPr>
                <w:rFonts w:ascii="宋体" w:hAnsi="宋体"/>
                <w:b/>
                <w:bCs/>
                <w:sz w:val="24"/>
              </w:rPr>
            </w:pPr>
            <w:r>
              <w:rPr>
                <w:rFonts w:ascii="宋体" w:hAnsi="宋体"/>
                <w:b/>
                <w:bCs/>
                <w:sz w:val="24"/>
              </w:rPr>
              <w:t xml:space="preserve">软件交互要求</w:t>
            </w:r>
            <w:r/>
          </w:p>
        </w:tc>
      </w:tr>
      <w:tr>
        <w:trPr/>
        <w:tc>
          <w:tcPr>
            <w:tcBorders>
              <w:top w:val="single" w:color="334E6F" w:sz="6" w:space="0"/>
              <w:left w:val="single" w:color="334E6F" w:sz="6" w:space="0"/>
              <w:bottom w:val="single" w:color="334E6F" w:sz="6" w:space="0"/>
              <w:right w:val="single" w:color="334E6F" w:sz="6" w:space="0"/>
            </w:tcBorders>
            <w:tcMar>
              <w:left w:w="15" w:type="dxa"/>
              <w:top w:w="15" w:type="dxa"/>
              <w:right w:w="15" w:type="dxa"/>
              <w:bottom w:w="15" w:type="dxa"/>
            </w:tcMar>
            <w:tcW w:w="286" w:type="pct"/>
            <w:vAlign w:val="center"/>
            <w:textDirection w:val="lrTb"/>
            <w:noWrap w:val="false"/>
          </w:tcPr>
          <w:p>
            <w:pPr>
              <w:pStyle w:val="860"/>
              <w:spacing w:line="264" w:lineRule="auto"/>
              <w:rPr>
                <w:rFonts w:ascii="宋体" w:hAnsi="宋体"/>
                <w:sz w:val="24"/>
              </w:rPr>
            </w:pPr>
            <w:r>
              <w:rPr>
                <w:rFonts w:ascii="宋体" w:hAnsi="宋体"/>
                <w:sz w:val="24"/>
              </w:rPr>
              <w:t xml:space="preserve">1</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585" w:type="pct"/>
            <w:vAlign w:val="center"/>
            <w:textDirection w:val="lrTb"/>
            <w:noWrap w:val="false"/>
          </w:tcPr>
          <w:p>
            <w:pPr>
              <w:pStyle w:val="860"/>
              <w:spacing w:line="264" w:lineRule="auto"/>
              <w:rPr>
                <w:rFonts w:ascii="宋体" w:hAnsi="宋体"/>
                <w:sz w:val="24"/>
              </w:rPr>
            </w:pPr>
            <w:r>
              <w:rPr>
                <w:rFonts w:ascii="宋体" w:hAnsi="宋体"/>
                <w:sz w:val="24"/>
              </w:rPr>
              <w:t xml:space="preserve">CPU资源模1（Intel）</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358" w:type="pct"/>
            <w:vAlign w:val="center"/>
            <w:textDirection w:val="lrTb"/>
            <w:noWrap w:val="false"/>
          </w:tcPr>
          <w:p>
            <w:pPr>
              <w:pStyle w:val="860"/>
              <w:spacing w:line="264" w:lineRule="auto"/>
              <w:rPr>
                <w:rFonts w:ascii="宋体" w:hAnsi="宋体"/>
                <w:sz w:val="24"/>
              </w:rPr>
            </w:pPr>
            <w:r>
              <w:rPr>
                <w:rFonts w:ascii="宋体" w:hAnsi="宋体"/>
                <w:sz w:val="24"/>
              </w:rPr>
              <w:t xml:space="preserve">1台</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1668" w:type="pct"/>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2U机架式，双路Intel Xeon 6 (Gold 6515P级别)，支持CXL 2.0 x16原生端口；内存64GB DDR5；10G SFP+网卡</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2103" w:type="pct"/>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需开发</w:t>
            </w:r>
            <w:r>
              <w:rPr>
                <w:rFonts w:ascii="宋体" w:hAnsi="宋体"/>
                <w:sz w:val="24"/>
              </w:rPr>
              <w:t xml:space="preserve">CXL驱动、内存共享库；BIOS已支持CXL枚举，需适配内核内存分配策略</w:t>
            </w:r>
            <w:r/>
          </w:p>
        </w:tc>
      </w:tr>
      <w:tr>
        <w:trPr/>
        <w:tc>
          <w:tcPr>
            <w:tcBorders>
              <w:top w:val="single" w:color="334E6F" w:sz="6" w:space="0"/>
              <w:left w:val="single" w:color="334E6F" w:sz="6" w:space="0"/>
              <w:bottom w:val="single" w:color="334E6F" w:sz="6" w:space="0"/>
              <w:right w:val="single" w:color="334E6F" w:sz="6" w:space="0"/>
            </w:tcBorders>
            <w:tcMar>
              <w:left w:w="15" w:type="dxa"/>
              <w:top w:w="15" w:type="dxa"/>
              <w:right w:w="15" w:type="dxa"/>
              <w:bottom w:w="15" w:type="dxa"/>
            </w:tcMar>
            <w:tcW w:w="286" w:type="pct"/>
            <w:vAlign w:val="center"/>
            <w:textDirection w:val="lrTb"/>
            <w:noWrap w:val="false"/>
          </w:tcPr>
          <w:p>
            <w:pPr>
              <w:pStyle w:val="860"/>
              <w:spacing w:line="264" w:lineRule="auto"/>
              <w:rPr>
                <w:rFonts w:ascii="宋体" w:hAnsi="宋体"/>
                <w:sz w:val="24"/>
              </w:rPr>
            </w:pPr>
            <w:r>
              <w:rPr>
                <w:rFonts w:ascii="宋体" w:hAnsi="宋体"/>
                <w:sz w:val="24"/>
              </w:rPr>
              <w:t xml:space="preserve">2</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585" w:type="pct"/>
            <w:vAlign w:val="center"/>
            <w:textDirection w:val="lrTb"/>
            <w:noWrap w:val="false"/>
          </w:tcPr>
          <w:p>
            <w:pPr>
              <w:pStyle w:val="860"/>
              <w:spacing w:line="264" w:lineRule="auto"/>
              <w:rPr>
                <w:rFonts w:ascii="宋体" w:hAnsi="宋体"/>
                <w:sz w:val="24"/>
              </w:rPr>
            </w:pPr>
            <w:r>
              <w:rPr>
                <w:rFonts w:ascii="宋体" w:hAnsi="宋体"/>
                <w:sz w:val="24"/>
              </w:rPr>
              <w:t xml:space="preserve">CPU资源模组2（AMD）</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358" w:type="pct"/>
            <w:vAlign w:val="center"/>
            <w:textDirection w:val="lrTb"/>
            <w:noWrap w:val="false"/>
          </w:tcPr>
          <w:p>
            <w:pPr>
              <w:pStyle w:val="860"/>
              <w:spacing w:line="264" w:lineRule="auto"/>
              <w:rPr>
                <w:rFonts w:ascii="宋体" w:hAnsi="宋体"/>
                <w:sz w:val="24"/>
              </w:rPr>
            </w:pPr>
            <w:r>
              <w:rPr>
                <w:rFonts w:ascii="宋体" w:hAnsi="宋体"/>
                <w:sz w:val="24"/>
              </w:rPr>
              <w:t xml:space="preserve">1台</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1668" w:type="pct"/>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2U机架式，双路AMD EPYC 9004/9005 (如9115)，支持CXL 2.0 x16；其余同上</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2103" w:type="pct"/>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同上，需适配AMD EPYC CXL控制器及BIOS</w:t>
            </w:r>
            <w:r/>
          </w:p>
        </w:tc>
      </w:tr>
      <w:tr>
        <w:trPr/>
        <w:tc>
          <w:tcPr>
            <w:tcBorders>
              <w:top w:val="single" w:color="334E6F" w:sz="6" w:space="0"/>
              <w:left w:val="single" w:color="334E6F" w:sz="6" w:space="0"/>
              <w:bottom w:val="single" w:color="334E6F" w:sz="6" w:space="0"/>
              <w:right w:val="single" w:color="334E6F" w:sz="6" w:space="0"/>
            </w:tcBorders>
            <w:tcMar>
              <w:left w:w="15" w:type="dxa"/>
              <w:top w:w="15" w:type="dxa"/>
              <w:right w:w="15" w:type="dxa"/>
              <w:bottom w:w="15" w:type="dxa"/>
            </w:tcMar>
            <w:tcW w:w="286" w:type="pct"/>
            <w:vAlign w:val="center"/>
            <w:textDirection w:val="lrTb"/>
            <w:noWrap w:val="false"/>
          </w:tcPr>
          <w:p>
            <w:pPr>
              <w:pStyle w:val="860"/>
              <w:spacing w:line="264" w:lineRule="auto"/>
              <w:rPr>
                <w:rFonts w:ascii="宋体" w:hAnsi="宋体"/>
                <w:sz w:val="24"/>
              </w:rPr>
            </w:pPr>
            <w:r>
              <w:rPr>
                <w:rFonts w:ascii="宋体" w:hAnsi="宋体"/>
                <w:sz w:val="24"/>
              </w:rPr>
              <w:t xml:space="preserve">3</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585" w:type="pct"/>
            <w:vAlign w:val="center"/>
            <w:textDirection w:val="lrTb"/>
            <w:noWrap w:val="false"/>
          </w:tcPr>
          <w:p>
            <w:pPr>
              <w:pStyle w:val="860"/>
              <w:spacing w:line="264" w:lineRule="auto"/>
              <w:rPr>
                <w:rFonts w:ascii="宋体" w:hAnsi="宋体"/>
                <w:sz w:val="24"/>
              </w:rPr>
            </w:pPr>
            <w:r>
              <w:rPr>
                <w:rFonts w:ascii="宋体" w:hAnsi="宋体"/>
                <w:sz w:val="24"/>
              </w:rPr>
              <w:t xml:space="preserve">CXL2.0 内存资源池</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358" w:type="pct"/>
            <w:vAlign w:val="center"/>
            <w:textDirection w:val="lrTb"/>
            <w:noWrap w:val="false"/>
          </w:tcPr>
          <w:p>
            <w:pPr>
              <w:pStyle w:val="860"/>
              <w:spacing w:line="264" w:lineRule="auto"/>
              <w:rPr>
                <w:rFonts w:ascii="宋体" w:hAnsi="宋体"/>
                <w:sz w:val="24"/>
              </w:rPr>
            </w:pPr>
            <w:r>
              <w:rPr>
                <w:rFonts w:ascii="宋体" w:hAnsi="宋体"/>
                <w:sz w:val="24"/>
              </w:rPr>
              <w:t xml:space="preserve">1台</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1668" w:type="pct"/>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3U机架式，≥4个Host端口(可扩至8)，支持CXL 2.0 Type3；≥22个E3.S设备；管理接口含BMC GE口</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2103" w:type="pct"/>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核心交换设备，需通过Fabric指令管理内存池分配；支持MLD/SLD模式，需基于其实现CrossBar转发、路由、流控；供应商将获得FPGA固件API及寄存器手册</w:t>
            </w:r>
            <w:r/>
          </w:p>
        </w:tc>
      </w:tr>
      <w:tr>
        <w:trPr/>
        <w:tc>
          <w:tcPr>
            <w:tcBorders>
              <w:top w:val="single" w:color="334E6F" w:sz="6" w:space="0"/>
              <w:left w:val="single" w:color="334E6F" w:sz="6" w:space="0"/>
              <w:bottom w:val="single" w:color="334E6F" w:sz="6" w:space="0"/>
              <w:right w:val="single" w:color="334E6F" w:sz="6" w:space="0"/>
            </w:tcBorders>
            <w:tcMar>
              <w:left w:w="15" w:type="dxa"/>
              <w:top w:w="15" w:type="dxa"/>
              <w:right w:w="15" w:type="dxa"/>
              <w:bottom w:w="15" w:type="dxa"/>
            </w:tcMar>
            <w:tcW w:w="286" w:type="pct"/>
            <w:vAlign w:val="center"/>
            <w:textDirection w:val="lrTb"/>
            <w:noWrap w:val="false"/>
          </w:tcPr>
          <w:p>
            <w:pPr>
              <w:pStyle w:val="860"/>
              <w:spacing w:line="264" w:lineRule="auto"/>
              <w:rPr>
                <w:rFonts w:ascii="宋体" w:hAnsi="宋体"/>
                <w:sz w:val="24"/>
              </w:rPr>
            </w:pPr>
            <w:r>
              <w:rPr>
                <w:rFonts w:ascii="宋体" w:hAnsi="宋体"/>
                <w:sz w:val="24"/>
              </w:rPr>
              <w:t xml:space="preserve">4</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585" w:type="pct"/>
            <w:vAlign w:val="center"/>
            <w:textDirection w:val="lrTb"/>
            <w:noWrap w:val="false"/>
          </w:tcPr>
          <w:p>
            <w:pPr>
              <w:pStyle w:val="860"/>
              <w:spacing w:line="264" w:lineRule="auto"/>
              <w:rPr>
                <w:rFonts w:ascii="宋体" w:hAnsi="宋体"/>
                <w:sz w:val="24"/>
              </w:rPr>
            </w:pPr>
            <w:r>
              <w:rPr>
                <w:rFonts w:ascii="宋体" w:hAnsi="宋体"/>
                <w:sz w:val="24"/>
              </w:rPr>
              <w:t xml:space="preserve">CXL内存扩展卡</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358" w:type="pct"/>
            <w:vAlign w:val="center"/>
            <w:textDirection w:val="lrTb"/>
            <w:noWrap w:val="false"/>
          </w:tcPr>
          <w:p>
            <w:pPr>
              <w:pStyle w:val="860"/>
              <w:spacing w:line="264" w:lineRule="auto"/>
              <w:rPr>
                <w:rFonts w:ascii="宋体" w:hAnsi="宋体"/>
                <w:sz w:val="24"/>
              </w:rPr>
            </w:pPr>
            <w:r>
              <w:rPr>
                <w:rFonts w:ascii="宋体" w:hAnsi="宋体"/>
                <w:sz w:val="24"/>
              </w:rPr>
              <w:t xml:space="preserve">2块</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1668" w:type="pct"/>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PCIe AIC，支持CXL 2.0 Type3，4×64GB DDR5 (共256GB)；被动散热</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2103" w:type="pct"/>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支持动态添加到主机或资源池，需配合动态扩缩软件</w:t>
            </w:r>
            <w:r/>
          </w:p>
        </w:tc>
      </w:tr>
      <w:tr>
        <w:trPr/>
        <w:tc>
          <w:tcPr>
            <w:tcBorders>
              <w:top w:val="single" w:color="334E6F" w:sz="6" w:space="0"/>
              <w:left w:val="single" w:color="334E6F" w:sz="6" w:space="0"/>
              <w:bottom w:val="single" w:color="334E6F" w:sz="6" w:space="0"/>
              <w:right w:val="single" w:color="334E6F" w:sz="6" w:space="0"/>
            </w:tcBorders>
            <w:tcMar>
              <w:left w:w="15" w:type="dxa"/>
              <w:top w:w="15" w:type="dxa"/>
              <w:right w:w="15" w:type="dxa"/>
              <w:bottom w:w="15" w:type="dxa"/>
            </w:tcMar>
            <w:tcW w:w="286" w:type="pct"/>
            <w:vAlign w:val="center"/>
            <w:textDirection w:val="lrTb"/>
            <w:noWrap w:val="false"/>
          </w:tcPr>
          <w:p>
            <w:pPr>
              <w:pStyle w:val="860"/>
              <w:spacing w:line="264" w:lineRule="auto"/>
              <w:rPr>
                <w:rFonts w:ascii="宋体" w:hAnsi="宋体"/>
                <w:sz w:val="24"/>
              </w:rPr>
            </w:pPr>
            <w:r>
              <w:rPr>
                <w:rFonts w:ascii="宋体" w:hAnsi="宋体"/>
                <w:sz w:val="24"/>
              </w:rPr>
              <w:t xml:space="preserve">5</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585" w:type="pct"/>
            <w:vAlign w:val="center"/>
            <w:textDirection w:val="lrTb"/>
            <w:noWrap w:val="false"/>
          </w:tcPr>
          <w:p>
            <w:pPr>
              <w:pStyle w:val="860"/>
              <w:spacing w:line="264" w:lineRule="auto"/>
              <w:rPr>
                <w:rFonts w:ascii="宋体" w:hAnsi="宋体"/>
                <w:sz w:val="24"/>
              </w:rPr>
            </w:pPr>
            <w:r>
              <w:rPr>
                <w:rFonts w:ascii="宋体" w:hAnsi="宋体"/>
                <w:sz w:val="24"/>
              </w:rPr>
              <w:t xml:space="preserve">机架式FPGA交换模组</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358" w:type="pct"/>
            <w:vAlign w:val="center"/>
            <w:textDirection w:val="lrTb"/>
            <w:noWrap w:val="false"/>
          </w:tcPr>
          <w:p>
            <w:pPr>
              <w:pStyle w:val="860"/>
              <w:spacing w:line="264" w:lineRule="auto"/>
              <w:rPr>
                <w:rFonts w:ascii="宋体" w:hAnsi="宋体"/>
                <w:sz w:val="24"/>
              </w:rPr>
            </w:pPr>
            <w:r>
              <w:rPr>
                <w:rFonts w:ascii="宋体" w:hAnsi="宋体"/>
                <w:sz w:val="24"/>
              </w:rPr>
              <w:t xml:space="preserve">1台</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1668" w:type="pct"/>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3U，FPGA型号AMD XCVU13P；≥4个上行Host端口，≥8个PCIe下行插槽(可插AIC卡)；支持100GbE</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2103" w:type="pct"/>
            <w:vAlign w:val="center"/>
            <w:textDirection w:val="lrTb"/>
            <w:noWrap w:val="false"/>
          </w:tcPr>
          <w:p>
            <w:pPr>
              <w:pStyle w:val="860"/>
              <w:ind w:firstLine="482"/>
              <w:spacing w:line="264" w:lineRule="auto"/>
              <w:rPr>
                <w:rFonts w:ascii="宋体" w:hAnsi="宋体"/>
                <w:sz w:val="24"/>
              </w:rPr>
            </w:pPr>
            <w:r>
              <w:rPr>
                <w:rFonts w:ascii="宋体" w:hAnsi="宋体"/>
                <w:b/>
                <w:sz w:val="24"/>
              </w:rPr>
              <w:t xml:space="preserve">依托 FPGA 灵活可编程硬件架构，充分发挥其高自由度逻辑定制与并行算力优势，搭</w:t>
            </w:r>
            <w:r>
              <w:rPr>
                <w:rFonts w:ascii="宋体" w:hAnsi="宋体"/>
                <w:b/>
                <w:sz w:val="24"/>
              </w:rPr>
              <w:t xml:space="preserve">建远端主机互联数据通路，高效完成主机侧 Ramdisk 资源拓展，实现高速远端存储资源无缝挂载</w:t>
            </w:r>
            <w:r>
              <w:rPr>
                <w:rFonts w:ascii="宋体" w:hAnsi="宋体"/>
                <w:sz w:val="24"/>
              </w:rPr>
            </w:r>
            <w:r/>
          </w:p>
        </w:tc>
      </w:tr>
      <w:tr>
        <w:trPr/>
        <w:tc>
          <w:tcPr>
            <w:tcBorders>
              <w:top w:val="single" w:color="334E6F" w:sz="6" w:space="0"/>
              <w:left w:val="single" w:color="334E6F" w:sz="6" w:space="0"/>
              <w:bottom w:val="single" w:color="334E6F" w:sz="6" w:space="0"/>
              <w:right w:val="single" w:color="334E6F" w:sz="6" w:space="0"/>
            </w:tcBorders>
            <w:tcMar>
              <w:left w:w="15" w:type="dxa"/>
              <w:top w:w="15" w:type="dxa"/>
              <w:right w:w="15" w:type="dxa"/>
              <w:bottom w:w="15" w:type="dxa"/>
            </w:tcMar>
            <w:tcW w:w="286" w:type="pct"/>
            <w:vAlign w:val="center"/>
            <w:textDirection w:val="lrTb"/>
            <w:noWrap w:val="false"/>
          </w:tcPr>
          <w:p>
            <w:pPr>
              <w:pStyle w:val="860"/>
              <w:spacing w:line="264" w:lineRule="auto"/>
              <w:rPr>
                <w:rFonts w:ascii="宋体" w:hAnsi="宋体"/>
                <w:sz w:val="24"/>
              </w:rPr>
            </w:pPr>
            <w:r>
              <w:rPr>
                <w:rFonts w:ascii="宋体" w:hAnsi="宋体"/>
                <w:sz w:val="24"/>
              </w:rPr>
              <w:t xml:space="preserve">6</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585" w:type="pct"/>
            <w:vAlign w:val="center"/>
            <w:textDirection w:val="lrTb"/>
            <w:noWrap w:val="false"/>
          </w:tcPr>
          <w:p>
            <w:pPr>
              <w:pStyle w:val="860"/>
              <w:spacing w:line="264" w:lineRule="auto"/>
              <w:rPr>
                <w:rFonts w:ascii="宋体" w:hAnsi="宋体"/>
                <w:sz w:val="24"/>
              </w:rPr>
            </w:pPr>
            <w:r>
              <w:rPr>
                <w:rFonts w:ascii="宋体" w:hAnsi="宋体"/>
                <w:sz w:val="24"/>
              </w:rPr>
              <w:t xml:space="preserve">存储资源模组1/2</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358" w:type="pct"/>
            <w:vAlign w:val="center"/>
            <w:textDirection w:val="lrTb"/>
            <w:noWrap w:val="false"/>
          </w:tcPr>
          <w:p>
            <w:pPr>
              <w:pStyle w:val="860"/>
              <w:spacing w:line="264" w:lineRule="auto"/>
              <w:rPr>
                <w:rFonts w:ascii="宋体" w:hAnsi="宋体"/>
                <w:sz w:val="24"/>
              </w:rPr>
            </w:pPr>
            <w:r>
              <w:rPr>
                <w:rFonts w:ascii="宋体" w:hAnsi="宋体"/>
                <w:sz w:val="24"/>
              </w:rPr>
              <w:t xml:space="preserve">2台</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1668" w:type="pct"/>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2U，Intel Xeon 5系列，32GB内存，512GB NVMe，10G/1G网卡</w:t>
            </w:r>
            <w:r/>
          </w:p>
        </w:tc>
        <w:tc>
          <w:tcPr>
            <w:tcBorders>
              <w:top w:val="single" w:color="334E6F" w:sz="6" w:space="0"/>
              <w:left w:val="none" w:color="000000" w:sz="4" w:space="0"/>
              <w:bottom w:val="single" w:color="334E6F" w:sz="6" w:space="0"/>
              <w:right w:val="single" w:color="334E6F" w:sz="6" w:space="0"/>
            </w:tcBorders>
            <w:tcMar>
              <w:left w:w="15" w:type="dxa"/>
              <w:top w:w="15" w:type="dxa"/>
              <w:right w:w="15" w:type="dxa"/>
              <w:bottom w:w="15" w:type="dxa"/>
            </w:tcMar>
            <w:tcW w:w="2103" w:type="pct"/>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部署管理软件或作为辅助节点</w:t>
            </w:r>
            <w:r/>
          </w:p>
        </w:tc>
      </w:tr>
    </w:tbl>
    <w:p>
      <w:pPr>
        <w:pStyle w:val="860"/>
        <w:ind w:firstLine="482"/>
        <w:spacing w:line="264" w:lineRule="auto"/>
        <w:rPr>
          <w:rFonts w:ascii="宋体" w:hAnsi="宋体"/>
          <w:b/>
          <w:bCs/>
          <w:sz w:val="24"/>
        </w:rPr>
      </w:pPr>
      <w:r>
        <w:rPr>
          <w:rFonts w:ascii="宋体" w:hAnsi="宋体"/>
          <w:b/>
          <w:bCs/>
          <w:sz w:val="24"/>
        </w:rPr>
        <w:t xml:space="preserve">供应商</w:t>
      </w:r>
      <w:r>
        <w:rPr>
          <w:rFonts w:hint="eastAsia" w:ascii="宋体" w:hAnsi="宋体"/>
          <w:b/>
          <w:bCs/>
          <w:sz w:val="24"/>
        </w:rPr>
        <w:t xml:space="preserve">注意事项</w:t>
      </w:r>
      <w:r>
        <w:rPr>
          <w:rFonts w:ascii="宋体" w:hAnsi="宋体"/>
          <w:b/>
          <w:bCs/>
          <w:sz w:val="24"/>
        </w:rPr>
        <w:t xml:space="preserve">：</w:t>
      </w:r>
      <w:r/>
    </w:p>
    <w:p>
      <w:pPr>
        <w:pStyle w:val="860"/>
        <w:ind w:firstLine="480"/>
        <w:spacing w:line="264" w:lineRule="auto"/>
        <w:rPr>
          <w:rFonts w:ascii="宋体" w:hAnsi="宋体"/>
          <w:sz w:val="24"/>
        </w:rPr>
      </w:pPr>
      <w:r>
        <w:rPr>
          <w:rFonts w:ascii="宋体" w:hAnsi="宋体"/>
          <w:sz w:val="24"/>
        </w:rPr>
        <w:t xml:space="preserve">① CXL2.0 内存资源池已提供基础固件，支持CXL 2.0协议解析，并开放FM (Fabric Manager) 交互API、端口配置寄存器及MLD转发逻辑编程接口。供应商需在此基础上开发第1-3项功能软件。</w:t>
      </w:r>
      <w:r/>
    </w:p>
    <w:p>
      <w:pPr>
        <w:pStyle w:val="860"/>
        <w:ind w:firstLine="480"/>
        <w:spacing w:line="264" w:lineRule="auto"/>
        <w:rPr>
          <w:rFonts w:ascii="宋体" w:hAnsi="宋体"/>
          <w:sz w:val="24"/>
        </w:rPr>
      </w:pPr>
      <w:r>
        <w:rPr>
          <w:rFonts w:ascii="宋体" w:hAnsi="宋体"/>
          <w:sz w:val="24"/>
        </w:rPr>
        <w:t xml:space="preserve">② 内存资源池和内存扩展卡均提供CXL 2.0 Type3设备标准接口，支持SLD/MLD及DCD(动态容量设备)特性。</w:t>
      </w:r>
      <w:r/>
    </w:p>
    <w:p>
      <w:pPr>
        <w:pStyle w:val="860"/>
        <w:ind w:firstLine="480"/>
        <w:spacing w:line="264" w:lineRule="auto"/>
        <w:rPr>
          <w:rFonts w:ascii="宋体" w:hAnsi="宋体"/>
          <w:b/>
          <w:bCs/>
          <w:sz w:val="24"/>
        </w:rPr>
      </w:pPr>
      <w:r>
        <w:rPr>
          <w:rFonts w:ascii="宋体" w:hAnsi="宋体"/>
          <w:sz w:val="24"/>
        </w:rPr>
        <w:t xml:space="preserve">③ 所有CXL设备通过PCIe Gen5 x16连接至CXL2.0 内存资源池，构成星型交换拓扑。CPU主机同样连接至CXL2.0 内存资源池上行端口。</w:t>
      </w:r>
      <w:r>
        <w:rPr>
          <w:rFonts w:ascii="宋体" w:hAnsi="宋体"/>
          <w:b/>
          <w:bCs/>
          <w:sz w:val="24"/>
        </w:rPr>
        <w:t xml:space="preserve"> </w:t>
      </w:r>
      <w:r/>
    </w:p>
    <w:p>
      <w:pPr>
        <w:pStyle w:val="860"/>
        <w:ind w:firstLine="482"/>
        <w:spacing w:line="264" w:lineRule="auto"/>
        <w:rPr>
          <w:rFonts w:ascii="宋体" w:hAnsi="宋体"/>
          <w:b/>
          <w:bCs/>
          <w:sz w:val="24"/>
        </w:rPr>
      </w:pPr>
      <w:r>
        <w:rPr>
          <w:rFonts w:ascii="宋体" w:hAnsi="宋体"/>
          <w:b/>
          <w:bCs/>
          <w:sz w:val="24"/>
        </w:rPr>
        <w:t xml:space="preserve">（二）基于硬件的功能开发指标</w:t>
      </w:r>
      <w:r/>
    </w:p>
    <w:p>
      <w:pPr>
        <w:pStyle w:val="860"/>
        <w:ind w:firstLine="480"/>
        <w:spacing w:line="264" w:lineRule="auto"/>
        <w:rPr>
          <w:rFonts w:ascii="宋体" w:hAnsi="宋体"/>
          <w:sz w:val="24"/>
        </w:rPr>
      </w:pPr>
      <w:r>
        <w:rPr>
          <w:rFonts w:ascii="宋体" w:hAnsi="宋体"/>
          <w:sz w:val="24"/>
        </w:rPr>
        <w:t xml:space="preserve">以下所有功能必须基于第一节所述硬件平台实现，供应商应在响应文件中完全响应与硬件交互的详细软件架构设计。</w:t>
      </w:r>
      <w:r/>
    </w:p>
    <w:tbl>
      <w:tblPr>
        <w:tblW w:w="0" w:type="auto"/>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590"/>
        <w:gridCol w:w="7320"/>
      </w:tblGrid>
      <w:tr>
        <w:trPr/>
        <w:tc>
          <w:tcPr>
            <w:tcMar>
              <w:left w:w="15" w:type="dxa"/>
              <w:top w:w="15" w:type="dxa"/>
              <w:right w:w="15" w:type="dxa"/>
              <w:bottom w:w="15" w:type="dxa"/>
            </w:tcMar>
            <w:tcW w:w="843" w:type="dxa"/>
            <w:vAlign w:val="center"/>
            <w:textDirection w:val="lrTb"/>
            <w:noWrap w:val="false"/>
          </w:tcPr>
          <w:p>
            <w:pPr>
              <w:pStyle w:val="860"/>
              <w:spacing w:line="264" w:lineRule="auto"/>
              <w:rPr>
                <w:rFonts w:ascii="宋体" w:hAnsi="宋体"/>
                <w:b/>
                <w:bCs/>
                <w:sz w:val="24"/>
              </w:rPr>
            </w:pPr>
            <w:r>
              <w:rPr>
                <w:rFonts w:ascii="宋体" w:hAnsi="宋体"/>
                <w:b/>
                <w:bCs/>
                <w:sz w:val="24"/>
              </w:rPr>
              <w:t xml:space="preserve">序号</w:t>
            </w:r>
            <w:r/>
          </w:p>
        </w:tc>
        <w:tc>
          <w:tcPr>
            <w:tcMar>
              <w:left w:w="15" w:type="dxa"/>
              <w:top w:w="15" w:type="dxa"/>
              <w:right w:w="15" w:type="dxa"/>
              <w:bottom w:w="15" w:type="dxa"/>
            </w:tcMar>
            <w:tcW w:w="1590" w:type="dxa"/>
            <w:vAlign w:val="center"/>
            <w:textDirection w:val="lrTb"/>
            <w:noWrap w:val="false"/>
          </w:tcPr>
          <w:p>
            <w:pPr>
              <w:pStyle w:val="860"/>
              <w:ind w:firstLine="482"/>
              <w:spacing w:line="264" w:lineRule="auto"/>
              <w:rPr>
                <w:rFonts w:ascii="宋体" w:hAnsi="宋体"/>
                <w:b/>
                <w:bCs/>
                <w:sz w:val="24"/>
              </w:rPr>
            </w:pPr>
            <w:r>
              <w:rPr>
                <w:rFonts w:ascii="宋体" w:hAnsi="宋体"/>
                <w:b/>
                <w:bCs/>
                <w:sz w:val="24"/>
              </w:rPr>
              <w:t xml:space="preserve">功能模块</w:t>
            </w:r>
            <w:r/>
          </w:p>
        </w:tc>
        <w:tc>
          <w:tcPr>
            <w:tcMar>
              <w:left w:w="15" w:type="dxa"/>
              <w:top w:w="15" w:type="dxa"/>
              <w:right w:w="15" w:type="dxa"/>
              <w:bottom w:w="15" w:type="dxa"/>
            </w:tcMar>
            <w:tcW w:w="7320" w:type="auto"/>
            <w:vAlign w:val="center"/>
            <w:textDirection w:val="lrTb"/>
            <w:noWrap w:val="false"/>
          </w:tcPr>
          <w:p>
            <w:pPr>
              <w:pStyle w:val="860"/>
              <w:ind w:firstLine="482"/>
              <w:spacing w:line="264" w:lineRule="auto"/>
              <w:rPr>
                <w:rFonts w:ascii="宋体" w:hAnsi="宋体"/>
                <w:b/>
                <w:bCs/>
                <w:sz w:val="24"/>
              </w:rPr>
            </w:pPr>
            <w:r>
              <w:rPr>
                <w:rFonts w:ascii="宋体" w:hAnsi="宋体"/>
                <w:b/>
                <w:bCs/>
                <w:sz w:val="24"/>
              </w:rPr>
              <w:t xml:space="preserve">详细技术要求（必须全部满足）</w:t>
            </w:r>
            <w:r/>
          </w:p>
        </w:tc>
      </w:tr>
      <w:tr>
        <w:trPr/>
        <w:tc>
          <w:tcPr>
            <w:tcMar>
              <w:left w:w="15" w:type="dxa"/>
              <w:top w:w="15" w:type="dxa"/>
              <w:right w:w="15" w:type="dxa"/>
              <w:bottom w:w="15" w:type="dxa"/>
            </w:tcMar>
            <w:tcW w:w="843" w:type="dxa"/>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1</w:t>
            </w:r>
            <w:r/>
          </w:p>
        </w:tc>
        <w:tc>
          <w:tcPr>
            <w:tcMar>
              <w:left w:w="15" w:type="dxa"/>
              <w:top w:w="15" w:type="dxa"/>
              <w:right w:w="15" w:type="dxa"/>
              <w:bottom w:w="15" w:type="dxa"/>
            </w:tcMar>
            <w:tcW w:w="1590" w:type="dxa"/>
            <w:vAlign w:val="center"/>
            <w:textDirection w:val="lrTb"/>
            <w:noWrap w:val="false"/>
          </w:tcPr>
          <w:p>
            <w:pPr>
              <w:pStyle w:val="860"/>
              <w:spacing w:line="264" w:lineRule="auto"/>
              <w:rPr>
                <w:rFonts w:ascii="宋体" w:hAnsi="宋体"/>
                <w:sz w:val="24"/>
              </w:rPr>
            </w:pPr>
            <w:r>
              <w:rPr>
                <w:rFonts w:ascii="宋体" w:hAnsi="宋体"/>
                <w:b/>
                <w:sz w:val="24"/>
              </w:rPr>
              <w:t xml:space="preserve">支持CXL交换功能</w:t>
            </w:r>
            <w:r>
              <w:rPr>
                <w:rFonts w:ascii="宋体" w:hAnsi="宋体"/>
                <w:sz w:val="24"/>
              </w:rPr>
            </w:r>
            <w:r/>
          </w:p>
        </w:tc>
        <w:tc>
          <w:tcPr>
            <w:tcMar>
              <w:left w:w="15" w:type="dxa"/>
              <w:top w:w="15" w:type="dxa"/>
              <w:right w:w="15" w:type="dxa"/>
              <w:bottom w:w="15" w:type="dxa"/>
            </w:tcMar>
            <w:tcW w:w="7320" w:type="auto"/>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(1) 利用CXL2.0 内存资源池实现6个物理端口（2上行</w:t>
            </w:r>
            <w:r>
              <w:rPr>
                <w:rFonts w:ascii="宋体" w:hAnsi="宋体"/>
                <w:sz w:val="24"/>
              </w:rPr>
              <w:t xml:space="preserve">，4下行），支持CXL.io与CXL.mem协议报文交换；</w:t>
              <w:br w:type="textWrapping" w:clear="all"/>
              <w:t xml:space="preserve">(2) 基于CXL2.0 内存资源池提供的查表引擎，实现静态路由表配置及基于BDF/HDM地址的动态路由；</w:t>
              <w:br w:type="textWrapping" w:clear="all"/>
              <w:t xml:space="preserve">(3) 端口管理：速率自协商、链路状态监测、CXL链路训练与错误处理；</w:t>
              <w:br w:type="textWrapping" w:clear="all"/>
              <w:t xml:space="preserve">(4) 集成MLD逻辑设备的转发逻辑，实现多主机间的内存访问隔离与转发；</w:t>
              <w:br w:type="textWrapping" w:clear="all"/>
              <w:t xml:space="preserve">(5) 基于信用的流量控制，支持拥塞检测及ECN标记，避免H2D/D2H方向拥塞；</w:t>
              <w:br w:type="textWrapping" w:clear="all"/>
              <w:t xml:space="preserve">(6) 提供配置接口（API或命令行），允许上层FM动态修改路由表、端口状态。 </w:t>
            </w:r>
            <w:r/>
          </w:p>
        </w:tc>
      </w:tr>
      <w:tr>
        <w:trPr/>
        <w:tc>
          <w:tcPr>
            <w:tcMar>
              <w:left w:w="15" w:type="dxa"/>
              <w:top w:w="15" w:type="dxa"/>
              <w:right w:w="15" w:type="dxa"/>
              <w:bottom w:w="15" w:type="dxa"/>
            </w:tcMar>
            <w:tcW w:w="843" w:type="dxa"/>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2</w:t>
            </w:r>
            <w:r/>
          </w:p>
        </w:tc>
        <w:tc>
          <w:tcPr>
            <w:tcMar>
              <w:left w:w="15" w:type="dxa"/>
              <w:top w:w="15" w:type="dxa"/>
              <w:right w:w="15" w:type="dxa"/>
              <w:bottom w:w="15" w:type="dxa"/>
            </w:tcMar>
            <w:tcW w:w="1590" w:type="dxa"/>
            <w:vAlign w:val="center"/>
            <w:textDirection w:val="lrTb"/>
            <w:noWrap w:val="false"/>
          </w:tcPr>
          <w:p>
            <w:pPr>
              <w:pStyle w:val="860"/>
              <w:spacing w:line="264" w:lineRule="auto"/>
              <w:rPr>
                <w:rFonts w:ascii="宋体" w:hAnsi="宋体"/>
                <w:sz w:val="24"/>
              </w:rPr>
            </w:pPr>
            <w:r>
              <w:rPr>
                <w:rFonts w:ascii="宋体" w:hAnsi="宋体"/>
                <w:b/>
                <w:sz w:val="24"/>
              </w:rPr>
              <w:t xml:space="preserve">CXL共享内存管理功能</w:t>
            </w:r>
            <w:r>
              <w:rPr>
                <w:rFonts w:ascii="宋体" w:hAnsi="宋体"/>
                <w:sz w:val="24"/>
              </w:rPr>
            </w:r>
            <w:r/>
          </w:p>
        </w:tc>
        <w:tc>
          <w:tcPr>
            <w:tcMar>
              <w:left w:w="15" w:type="dxa"/>
              <w:top w:w="15" w:type="dxa"/>
              <w:right w:w="15" w:type="dxa"/>
              <w:bottom w:w="15" w:type="dxa"/>
            </w:tcMar>
            <w:tcW w:w="7320" w:type="auto"/>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w:t>
            </w:r>
            <w:r>
              <w:rPr>
                <w:rFonts w:ascii="宋体" w:hAnsi="宋体"/>
                <w:sz w:val="24"/>
              </w:rPr>
              <w:t xml:space="preserve">1) 基于CXL内存资源池及扩展卡，实现CXL 2.0 Type3控制器驱动，出CXL 2.0链路；</w:t>
              <w:br/>
              <w:t xml:space="preserve">(2) 内存控制器管理：支持ECC错误检测与纠正，故障地址记录；</w:t>
              <w:br/>
              <w:t xml:space="preserve">(3) 支持MLD逻辑设备划分，每个MLD可包含多个LDI（最多16个），物理内存按1GB粒度分配；</w:t>
              <w:br/>
              <w:t xml:space="preserve">(4) 多主机访问：通过CXL2.0 内存资源池实现多主机对同一MLD的共享访问（依据权限）；</w:t>
              <w:br/>
              <w:t xml:space="preserve">(5) 内存状态上报：容量查询、地址映射表、故障隔离列表；</w:t>
              <w:br/>
              <w:t xml:space="preserve">(6) 接收Fabric管理器指令，执行内存资源的分配、释放、回收操作，并返回状态。 </w:t>
            </w:r>
            <w:r>
              <w:rPr>
                <w:rFonts w:ascii="宋体" w:hAnsi="宋体"/>
                <w:sz w:val="24"/>
              </w:rPr>
            </w:r>
            <w:r/>
          </w:p>
        </w:tc>
      </w:tr>
      <w:tr>
        <w:trPr/>
        <w:tc>
          <w:tcPr>
            <w:tcMar>
              <w:left w:w="15" w:type="dxa"/>
              <w:top w:w="15" w:type="dxa"/>
              <w:right w:w="15" w:type="dxa"/>
              <w:bottom w:w="15" w:type="dxa"/>
            </w:tcMar>
            <w:tcW w:w="843" w:type="dxa"/>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3</w:t>
            </w:r>
            <w:r/>
          </w:p>
        </w:tc>
        <w:tc>
          <w:tcPr>
            <w:tcMar>
              <w:left w:w="15" w:type="dxa"/>
              <w:top w:w="15" w:type="dxa"/>
              <w:right w:w="15" w:type="dxa"/>
              <w:bottom w:w="15" w:type="dxa"/>
            </w:tcMar>
            <w:tcW w:w="1590" w:type="dxa"/>
            <w:vAlign w:val="center"/>
            <w:textDirection w:val="lrTb"/>
            <w:noWrap w:val="false"/>
          </w:tcPr>
          <w:p>
            <w:pPr>
              <w:pStyle w:val="860"/>
              <w:spacing w:line="264" w:lineRule="auto"/>
              <w:rPr>
                <w:rFonts w:ascii="宋体" w:hAnsi="宋体"/>
                <w:sz w:val="24"/>
              </w:rPr>
            </w:pPr>
            <w:r>
              <w:rPr>
                <w:rFonts w:ascii="宋体" w:hAnsi="宋体"/>
                <w:b/>
                <w:sz w:val="24"/>
              </w:rPr>
              <w:t xml:space="preserve">Fabric管理与控制功能</w:t>
            </w:r>
            <w:r>
              <w:rPr>
                <w:rFonts w:ascii="宋体" w:hAnsi="宋体"/>
                <w:sz w:val="24"/>
              </w:rPr>
            </w:r>
            <w:r/>
          </w:p>
        </w:tc>
        <w:tc>
          <w:tcPr>
            <w:tcMar>
              <w:left w:w="15" w:type="dxa"/>
              <w:top w:w="15" w:type="dxa"/>
              <w:right w:w="15" w:type="dxa"/>
              <w:bottom w:w="15" w:type="dxa"/>
            </w:tcMar>
            <w:tcW w:w="7320" w:type="auto"/>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(1) 全局视图：维护所有内存节点（资源池、扩展卡）状态、容量统计、拓扑连接图；</w:t>
              <w:br w:type="textWrapping" w:clear="all"/>
              <w:t xml:space="preserve">(2) 多主机调度：实现内存资源分配策略，避免冲突，支持优先级；</w:t>
              <w:br w:type="textWrapping" w:clear="all"/>
              <w:t xml:space="preserve">(3) MLD生命周期管理：全局创建、删除、动态调整MLD，并同步更新CXL2.0 内存资源池交换转发规则；</w:t>
              <w:br w:type="textWrapping" w:clear="all"/>
              <w:t xml:space="preserve">(4) 映射关系维护：逻辑设备与物理内存资源（设备ID、地址段）的映射表；</w:t>
              <w:br w:type="textWrapping" w:clear="all"/>
              <w:t xml:space="preserve">(5) 监控告警：设备上下线、故障、容量超限触发SNMP/邮件告警；</w:t>
              <w:br w:type="textWrapping" w:clear="all"/>
              <w:t xml:space="preserve">(6) 管理接口：提供1000M以太网口，支持Web图形界面与RESTful API，可集成至第三方平台。 </w:t>
            </w:r>
            <w:r/>
          </w:p>
        </w:tc>
      </w:tr>
      <w:tr>
        <w:trPr/>
        <w:tc>
          <w:tcPr>
            <w:tcMar>
              <w:left w:w="15" w:type="dxa"/>
              <w:top w:w="15" w:type="dxa"/>
              <w:right w:w="15" w:type="dxa"/>
              <w:bottom w:w="15" w:type="dxa"/>
            </w:tcMar>
            <w:tcW w:w="843" w:type="dxa"/>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4</w:t>
            </w:r>
            <w:r/>
          </w:p>
        </w:tc>
        <w:tc>
          <w:tcPr>
            <w:tcMar>
              <w:left w:w="15" w:type="dxa"/>
              <w:top w:w="15" w:type="dxa"/>
              <w:right w:w="15" w:type="dxa"/>
              <w:bottom w:w="15" w:type="dxa"/>
            </w:tcMar>
            <w:tcW w:w="1590" w:type="dxa"/>
            <w:vAlign w:val="center"/>
            <w:textDirection w:val="lrTb"/>
            <w:noWrap w:val="false"/>
          </w:tcPr>
          <w:p>
            <w:pPr>
              <w:pStyle w:val="860"/>
              <w:spacing w:line="264" w:lineRule="auto"/>
              <w:rPr>
                <w:rFonts w:ascii="宋体" w:hAnsi="宋体"/>
                <w:sz w:val="24"/>
              </w:rPr>
            </w:pPr>
            <w:r>
              <w:rPr>
                <w:rFonts w:ascii="宋体" w:hAnsi="宋体"/>
                <w:b/>
                <w:sz w:val="24"/>
              </w:rPr>
              <w:t xml:space="preserve">内存资源动态扩缩</w:t>
            </w:r>
            <w:r>
              <w:rPr>
                <w:rFonts w:ascii="宋体" w:hAnsi="宋体"/>
                <w:sz w:val="24"/>
              </w:rPr>
            </w:r>
            <w:r/>
          </w:p>
        </w:tc>
        <w:tc>
          <w:tcPr>
            <w:tcMar>
              <w:left w:w="15" w:type="dxa"/>
              <w:top w:w="15" w:type="dxa"/>
              <w:right w:w="15" w:type="dxa"/>
              <w:bottom w:w="15" w:type="dxa"/>
            </w:tcMar>
            <w:tcW w:w="7320" w:type="auto"/>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(1) 支持CXL 2.0 SLD/MLD及DCD模式，可动态添加/移除内存设备；</w:t>
              <w:br w:type="textWrapping" w:clear="all"/>
              <w:t xml:space="preserve">(2) 接收上层软件或FM指令，实现内存热添加、热移除，不影响正在运行的业务主机；</w:t>
              <w:br w:type="textWrapping" w:clear="all"/>
              <w:t xml:space="preserve">(3) 最小分配粒度1GB，支持单LDI容量灵活配置；</w:t>
              <w:br w:type="textWrapping" w:clear="all"/>
              <w:t xml:space="preserve">(4) LDI数量：每个MLD最多16个LDI，可跨物理设备组合；</w:t>
              <w:br w:type="textWrapping" w:clear="all"/>
              <w:t xml:space="preserve">(5) 动态绑定：LDI可在不同主机间迁移（需主机侧驱动配合）；</w:t>
              <w:br w:type="textWrapping" w:clear="all"/>
              <w:t xml:space="preserve">(6) 配套固件：交付CXL2.0 内存资源池中与动态扩缩相关的固件更新（如有），确保硬件支</w:t>
            </w:r>
            <w:r>
              <w:rPr>
                <w:rFonts w:ascii="宋体" w:hAnsi="宋体"/>
                <w:sz w:val="24"/>
              </w:rPr>
              <w:t xml:space="preserve">持。 </w:t>
            </w:r>
            <w:r/>
          </w:p>
        </w:tc>
      </w:tr>
      <w:tr>
        <w:trPr/>
        <w:tc>
          <w:tcPr>
            <w:tcMar>
              <w:left w:w="15" w:type="dxa"/>
              <w:top w:w="15" w:type="dxa"/>
              <w:right w:w="15" w:type="dxa"/>
              <w:bottom w:w="15" w:type="dxa"/>
            </w:tcMar>
            <w:tcW w:w="843" w:type="dxa"/>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5</w:t>
            </w:r>
            <w:r/>
          </w:p>
        </w:tc>
        <w:tc>
          <w:tcPr>
            <w:tcMar>
              <w:left w:w="15" w:type="dxa"/>
              <w:top w:w="15" w:type="dxa"/>
              <w:right w:w="15" w:type="dxa"/>
              <w:bottom w:w="15" w:type="dxa"/>
            </w:tcMar>
            <w:tcW w:w="1590" w:type="dxa"/>
            <w:vAlign w:val="center"/>
            <w:textDirection w:val="lrTb"/>
            <w:noWrap w:val="false"/>
          </w:tcPr>
          <w:p>
            <w:pPr>
              <w:pStyle w:val="860"/>
              <w:spacing w:line="264" w:lineRule="auto"/>
              <w:rPr>
                <w:rFonts w:ascii="宋体" w:hAnsi="宋体"/>
                <w:sz w:val="24"/>
              </w:rPr>
            </w:pPr>
            <w:r>
              <w:rPr>
                <w:rFonts w:ascii="宋体" w:hAnsi="宋体"/>
                <w:b/>
                <w:sz w:val="24"/>
              </w:rPr>
              <w:t xml:space="preserve">适配Intel与AMD CPU服务器</w:t>
            </w:r>
            <w:r>
              <w:rPr>
                <w:rFonts w:ascii="宋体" w:hAnsi="宋体"/>
                <w:sz w:val="24"/>
              </w:rPr>
            </w:r>
            <w:r/>
          </w:p>
        </w:tc>
        <w:tc>
          <w:tcPr>
            <w:tcMar>
              <w:left w:w="15" w:type="dxa"/>
              <w:top w:w="15" w:type="dxa"/>
              <w:right w:w="15" w:type="dxa"/>
              <w:bottom w:w="15" w:type="dxa"/>
            </w:tcMar>
            <w:tcW w:w="7320" w:type="auto"/>
            <w:vAlign w:val="center"/>
            <w:textDirection w:val="lrTb"/>
            <w:noWrap w:val="false"/>
          </w:tcPr>
          <w:p>
            <w:pPr>
              <w:pStyle w:val="860"/>
              <w:ind w:firstLine="480"/>
              <w:spacing w:line="264" w:lineRule="auto"/>
              <w:rPr>
                <w:rFonts w:ascii="宋体" w:hAnsi="宋体"/>
                <w:sz w:val="24"/>
              </w:rPr>
            </w:pPr>
            <w:r>
              <w:rPr>
                <w:rFonts w:ascii="宋体" w:hAnsi="宋体"/>
                <w:sz w:val="24"/>
              </w:rPr>
              <w:t xml:space="preserve">(1) 为Intel Xeon 6和AMD EPYC 9004/9005平台提供CXL 2.0控制器驱动，实现CXL.io/mem</w:t>
            </w:r>
            <w:r>
              <w:rPr>
                <w:rFonts w:ascii="宋体" w:hAnsi="宋体"/>
                <w:sz w:val="24"/>
              </w:rPr>
              <w:t xml:space="preserve">链路初始化；</w:t>
              <w:br/>
              <w:t xml:space="preserve">(2) 内存共享库：用户态API，支持内存申请、释放、模式设置（system-ram或devdax）；</w:t>
              <w:br/>
              <w:t xml:space="preserve">(3) BIOS配合：确保CPU的CXL Decoder正确枚举，无需用户手动干预；</w:t>
              <w:br/>
              <w:t xml:space="preserve">(4) 内核内存策略：兼容default、交织、bind、preferred等numa策略，内存节点可通过numactl或libNuma绑定；</w:t>
              <w:br/>
              <w:t xml:space="preserve">(5) 网络：支持1G管理网口用于与Fabric管理器通信，10G数据网口用于业务数据迁移；</w:t>
              <w:br/>
              <w:t xml:space="preserve">(6) 提供主机侧代理程序，负责与FM交互，上报本机内存需求及拓扑。 </w:t>
            </w:r>
            <w:r/>
          </w:p>
        </w:tc>
      </w:tr>
    </w:tbl>
    <w:p>
      <w:pPr>
        <w:pStyle w:val="860"/>
        <w:ind w:firstLine="480"/>
        <w:spacing w:line="264" w:lineRule="auto"/>
        <w:rPr>
          <w:rFonts w:hint="eastAsia" w:ascii="宋体" w:hAnsi="宋体"/>
          <w:sz w:val="24"/>
        </w:rPr>
      </w:pPr>
      <w:r>
        <w:rPr>
          <w:rFonts w:hint="eastAsia" w:ascii="宋体" w:hAnsi="宋体"/>
          <w:sz w:val="24"/>
        </w:rPr>
      </w:r>
      <w:r/>
    </w:p>
    <w:p>
      <w:pPr>
        <w:pStyle w:val="860"/>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w:t>
      </w:r>
      <w:r>
        <w:rPr>
          <w:rFonts w:hint="eastAsia" w:ascii="宋体" w:hAnsi="宋体" w:cs="宋体"/>
          <w:sz w:val="24"/>
          <w:szCs w:val="24"/>
        </w:rPr>
        <w:t xml:space="preserve">增加收费、降低服务质量的理由。</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（3）供应商报价除包含谈判文件中列明的项目外，还应包括保障产品正常使用应当具有的物资和服务，对产品正常使用应当具有的物资和服务理解不一致的以采购单位理解为准。</w:t>
      </w:r>
      <w:r/>
    </w:p>
    <w:p>
      <w:pPr>
        <w:pStyle w:val="860"/>
        <w:ind w:firstLine="480"/>
        <w:spacing w:line="264" w:lineRule="auto"/>
        <w:rPr>
          <w:rFonts w:ascii="宋体" w:hAnsi="宋体" w:cs="宋体"/>
          <w:sz w:val="24"/>
          <w:szCs w:val="24"/>
        </w:rPr>
      </w:pPr>
      <w:r>
        <w:rPr>
          <w:rFonts w:ascii="宋体" w:hAnsi="宋体" w:cs="宋体"/>
          <w:sz w:val="24"/>
          <w:szCs w:val="24"/>
        </w:rPr>
        <w:t xml:space="preserve">2.实施要求</w:t>
      </w:r>
      <w:r/>
    </w:p>
    <w:p>
      <w:pPr>
        <w:pStyle w:val="860"/>
        <w:ind w:firstLine="480"/>
        <w:spacing w:line="264" w:lineRule="auto"/>
        <w:rPr>
          <w:rFonts w:ascii="宋体" w:hAnsi="宋体" w:cs="宋体"/>
          <w:sz w:val="24"/>
          <w:szCs w:val="24"/>
        </w:rPr>
      </w:pPr>
      <w:r>
        <w:rPr>
          <w:rFonts w:ascii="宋体" w:hAnsi="宋体" w:cs="宋体"/>
          <w:sz w:val="24"/>
          <w:szCs w:val="24"/>
        </w:rPr>
        <w:t xml:space="preserve">（1）总体要求：组建专职团队，基于现有硬件完成设计、开发、集成、测试。项目计划需包含与硬件平台的联调里程碑，所有阶段成果需采购人确认。</w:t>
      </w:r>
      <w:r/>
    </w:p>
    <w:p>
      <w:pPr>
        <w:pStyle w:val="860"/>
        <w:ind w:firstLine="480"/>
        <w:spacing w:line="264" w:lineRule="auto"/>
        <w:rPr>
          <w:rFonts w:ascii="宋体" w:hAnsi="宋体" w:cs="宋体"/>
          <w:sz w:val="24"/>
          <w:szCs w:val="24"/>
        </w:rPr>
      </w:pPr>
      <w:r>
        <w:rPr>
          <w:rFonts w:ascii="宋体" w:hAnsi="宋体" w:cs="宋体"/>
          <w:sz w:val="24"/>
          <w:szCs w:val="24"/>
        </w:rPr>
        <w:t xml:space="preserve">（2）服务要求：提供现场部署调试、技术培训，指定专人接口。硬件平台由采购人提供，供应商须保证软件与硬件的兼容性。</w:t>
      </w:r>
      <w:r/>
    </w:p>
    <w:p>
      <w:pPr>
        <w:pStyle w:val="860"/>
        <w:ind w:firstLine="480"/>
        <w:spacing w:line="264" w:lineRule="auto"/>
        <w:rPr>
          <w:rFonts w:ascii="宋体" w:hAnsi="宋体" w:cs="宋体"/>
          <w:sz w:val="24"/>
          <w:szCs w:val="24"/>
        </w:rPr>
      </w:pPr>
      <w:r>
        <w:rPr>
          <w:rFonts w:ascii="宋体" w:hAnsi="宋体" w:cs="宋体"/>
          <w:sz w:val="24"/>
          <w:szCs w:val="24"/>
        </w:rPr>
        <w:t xml:space="preserve">（3）验收要求：在硬件平台上完成所有功能部署和性能测试。供应商需提交针对硬件环境的测试大纲，经确认后执行。验收包括功能测试、稳定性测试（72小时压力测试）及文档审查。</w:t>
      </w:r>
      <w:r/>
    </w:p>
    <w:p>
      <w:pPr>
        <w:pStyle w:val="860"/>
        <w:ind w:firstLine="480"/>
        <w:spacing w:line="264" w:lineRule="auto"/>
        <w:rPr>
          <w:rFonts w:ascii="宋体" w:hAnsi="宋体" w:cs="宋体"/>
          <w:sz w:val="24"/>
          <w:szCs w:val="24"/>
        </w:rPr>
      </w:pPr>
      <w:r>
        <w:rPr>
          <w:rFonts w:ascii="宋体" w:hAnsi="宋体" w:cs="宋体"/>
          <w:sz w:val="24"/>
          <w:szCs w:val="24"/>
        </w:rPr>
        <w:t xml:space="preserve">交付成果：需求分析、用户手册、host端应用软件源代码、部署包、测试报告、操作手册、维护手册等。</w:t>
      </w:r>
      <w:r/>
    </w:p>
    <w:p>
      <w:pPr>
        <w:pStyle w:val="860"/>
        <w:ind w:firstLine="480"/>
        <w:spacing w:line="264" w:lineRule="auto"/>
        <w:rPr>
          <w:rFonts w:ascii="宋体" w:hAnsi="宋体" w:cs="宋体"/>
          <w:sz w:val="24"/>
          <w:szCs w:val="24"/>
        </w:rPr>
      </w:pPr>
      <w:r>
        <w:rPr>
          <w:rFonts w:ascii="宋体" w:hAnsi="宋体" w:cs="宋体"/>
          <w:sz w:val="24"/>
          <w:szCs w:val="24"/>
        </w:rPr>
        <w:t xml:space="preserve">（4）质保（维保）及售后要求</w:t>
      </w:r>
      <w:r/>
    </w:p>
    <w:p>
      <w:pPr>
        <w:pStyle w:val="860"/>
        <w:ind w:firstLine="480"/>
        <w:spacing w:line="264" w:lineRule="auto"/>
        <w:rPr>
          <w:rFonts w:ascii="宋体" w:hAnsi="宋体" w:cs="宋体"/>
          <w:sz w:val="24"/>
          <w:szCs w:val="24"/>
        </w:rPr>
      </w:pPr>
      <w:r>
        <w:rPr>
          <w:rFonts w:ascii="宋体" w:hAnsi="宋体" w:cs="宋体"/>
          <w:sz w:val="24"/>
          <w:szCs w:val="24"/>
        </w:rPr>
        <w:t xml:space="preserve">①3年免费质保（维保），7×24小时响应。维保期内适配硬件固件升级，免费修复缺陷。</w:t>
      </w:r>
      <w:r/>
    </w:p>
    <w:p>
      <w:pPr>
        <w:pStyle w:val="860"/>
        <w:ind w:firstLine="480"/>
        <w:spacing w:line="264" w:lineRule="auto"/>
        <w:rPr>
          <w:rFonts w:ascii="宋体" w:hAnsi="宋体" w:cs="宋体"/>
          <w:sz w:val="24"/>
          <w:szCs w:val="24"/>
        </w:rPr>
      </w:pPr>
      <w:r>
        <w:rPr>
          <w:rFonts w:ascii="宋体" w:hAnsi="宋体" w:cs="宋体"/>
          <w:sz w:val="24"/>
          <w:szCs w:val="24"/>
        </w:rPr>
        <w:t xml:space="preserve">②质保期内，每年维护保养1次，维护保养及更换损坏件的费用包含在总价中。</w:t>
      </w:r>
      <w:r/>
    </w:p>
    <w:p>
      <w:pPr>
        <w:pStyle w:val="860"/>
        <w:ind w:firstLine="480"/>
        <w:spacing w:line="264"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ascii="宋体" w:hAnsi="宋体" w:cs="宋体"/>
          <w:sz w:val="24"/>
          <w:szCs w:val="24"/>
        </w:rPr>
        <w:t xml:space="preserve">质保期内，一旦产品发生质量问题，供应商接到报修请求，在</w:t>
      </w:r>
      <w:r>
        <w:rPr>
          <w:rFonts w:ascii="宋体" w:hAnsi="宋体" w:cs="宋体"/>
          <w:sz w:val="24"/>
          <w:szCs w:val="24"/>
        </w:rPr>
        <w:t xml:space="preserve">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质保期内维修（人为因素除外）费用包含在总价中，质保期外提供不高于市场价格的终身维护。成交后提供质保期外配件价格明细表。</w:t>
      </w:r>
      <w:r/>
    </w:p>
    <w:p>
      <w:pPr>
        <w:pStyle w:val="860"/>
        <w:ind w:firstLine="480"/>
        <w:spacing w:line="264" w:lineRule="auto"/>
        <w:rPr>
          <w:rFonts w:ascii="宋体" w:hAnsi="宋体" w:cs="宋体"/>
          <w:sz w:val="24"/>
          <w:szCs w:val="24"/>
        </w:rPr>
      </w:pPr>
      <w:r>
        <w:rPr>
          <w:rFonts w:ascii="宋体" w:hAnsi="宋体" w:cs="宋体"/>
          <w:sz w:val="24"/>
          <w:szCs w:val="24"/>
        </w:rPr>
        <w:t xml:space="preserve">（5）知识产权</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本项目涉及的供应商原有或第三方基础软件，知识产权归原权利人所有。供应商保证已获合法授权，授予采购人不可撤销的永久使用许可，且无需另行支付许可费用。为本项目单独开发产生的全部成果（含源代码、文档等），其知识产权自产生之日起归采购人所有。供应商应在验收时完整交付源代码及相关资料。供应商应保证本项目的投标技术、服务或其任何一部分不会产生因第三方提出侵犯其专利权、商标权或其他知识产权而引起的法律和经济纠纷；如因第三方提出其专利权、商标权或其他知识产权的侵权之诉，则一切法律责任由供应商承担。</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供应商同意，如有第三方声称采购人或采购人的客户使用本合同项下货物侵犯了第三方的知识产权或其它</w:t>
      </w:r>
      <w:r>
        <w:rPr>
          <w:rFonts w:ascii="宋体" w:hAnsi="宋体" w:cs="宋体"/>
          <w:sz w:val="24"/>
          <w:szCs w:val="24"/>
        </w:rPr>
        <w:t xml:space="preserve">权利，供应商须承担有关判决或和解所确定的赔偿金额，并承担采购人因此支出的全部费用（包括但不限于诉讼费、保全费、公证费、律师费、差旅费等）和损失（包括但不限于采购人向其客户承担的赔偿、继续使用费用）。采购人同意，一旦发生此类诉讼或请求，采购人将及时通知供应商，以便供应商获得应有的权利。</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经判决或和解协议确认供应商所供货物侵犯第三方权利的，供应商须向采购人承担合同总价20%的违约金；另，除第三方权利人同意采购人或采购人客户继续使用本合同项下货物且供应商已承担继续使用费用外，则供应商须全额退还采购人已付货款。</w:t>
      </w:r>
      <w:r/>
    </w:p>
    <w:p>
      <w:pPr>
        <w:pStyle w:val="860"/>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pStyle w:val="860"/>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60"/>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120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rPr>
          <w:rFonts w:ascii="宋体" w:hAnsi="宋体" w:cs="宋体"/>
          <w:sz w:val="24"/>
          <w:szCs w:val="24"/>
        </w:rPr>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860"/>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0"/>
        <w:ind w:firstLine="480"/>
        <w:spacing w:line="264" w:lineRule="auto"/>
        <w:rPr>
          <w:rFonts w:hint="eastAsia" w:ascii="宋体" w:hAnsi="宋体" w:cs="宋体"/>
          <w:sz w:val="24"/>
          <w:szCs w:val="24"/>
        </w:rPr>
      </w:pPr>
      <w:r/>
      <w:bookmarkStart w:id="166" w:name="OLE_LINK1"/>
      <w:r>
        <w:rPr>
          <w:rFonts w:hint="eastAsia" w:ascii="宋体" w:hAnsi="宋体" w:cs="宋体"/>
          <w:sz w:val="24"/>
          <w:szCs w:val="24"/>
        </w:rPr>
        <w:t xml:space="preserve">6.其他要求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pStyle w:val="860"/>
        <w:ind w:firstLine="480"/>
        <w:spacing w:line="264" w:lineRule="auto"/>
        <w:rPr>
          <w:rFonts w:hint="eastAsia" w:ascii="宋体" w:hAnsi="宋体" w:cs="宋体"/>
          <w:bCs/>
          <w:sz w:val="24"/>
          <w:szCs w:val="24"/>
        </w:rPr>
      </w:pPr>
      <w:r>
        <w:rPr>
          <w:rFonts w:hint="eastAsia" w:ascii="宋体" w:hAnsi="宋体" w:cs="宋体"/>
          <w:sz w:val="24"/>
          <w:szCs w:val="24"/>
        </w:rPr>
        <w:t xml:space="preserve">采购文件成交标准中涉及的相关证明材料，应在</w:t>
      </w:r>
      <w:r>
        <w:rPr>
          <w:rFonts w:hint="eastAsia" w:ascii="宋体" w:hAnsi="宋体" w:cs="宋体"/>
          <w:sz w:val="24"/>
          <w:szCs w:val="24"/>
        </w:rPr>
        <w:t xml:space="preserve">响应文件中提供，由评审小组在评审现场予以确认。签订合同时供应商应按采购人要求提供上述证明材料原件供采购人核验。</w:t>
      </w:r>
      <w:bookmarkEnd w:id="166"/>
      <w:r>
        <w:rPr>
          <w:rFonts w:hint="eastAsia" w:ascii="宋体" w:hAnsi="宋体" w:cs="宋体"/>
          <w:bCs/>
          <w:sz w:val="24"/>
          <w:szCs w:val="24"/>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860"/>
        <w:spacing w:line="0" w:lineRule="atLeast"/>
        <w:rPr>
          <w:rFonts w:hint="eastAsia" w:ascii="宋体" w:hAnsi="宋体"/>
          <w:sz w:val="24"/>
          <w:szCs w:val="21"/>
        </w:rPr>
      </w:pPr>
      <w:r>
        <w:rPr>
          <w:rFonts w:hint="eastAsia" w:ascii="宋体" w:hAnsi="宋体"/>
          <w:sz w:val="24"/>
          <w:szCs w:val="21"/>
        </w:rPr>
      </w:r>
      <w:r/>
    </w:p>
    <w:p>
      <w:pPr>
        <w:pStyle w:val="860"/>
        <w:spacing w:line="0" w:lineRule="atLeast"/>
        <w:rPr>
          <w:rFonts w:ascii="宋体" w:hAnsi="宋体"/>
          <w:sz w:val="24"/>
          <w:szCs w:val="24"/>
        </w:rPr>
      </w:pPr>
      <w:r>
        <w:rPr>
          <w:rFonts w:ascii="宋体" w:hAnsi="宋体"/>
          <w:sz w:val="24"/>
          <w:szCs w:val="24"/>
        </w:rPr>
      </w:r>
      <w:r/>
    </w:p>
    <w:p>
      <w:pPr>
        <w:pStyle w:val="873"/>
      </w:pPr>
      <w:r/>
      <w:r/>
    </w:p>
    <w:p>
      <w:pPr>
        <w:pStyle w:val="860"/>
      </w:pPr>
      <w:r/>
      <w:r/>
    </w:p>
    <w:p>
      <w:pPr>
        <w:pStyle w:val="873"/>
      </w:pPr>
      <w:r/>
      <w:r/>
    </w:p>
    <w:p>
      <w:pPr>
        <w:pStyle w:val="860"/>
      </w:pPr>
      <w:r/>
      <w:r/>
    </w:p>
    <w:p>
      <w:pPr>
        <w:pStyle w:val="873"/>
      </w:pPr>
      <w:r/>
      <w:r/>
    </w:p>
    <w:p>
      <w:pPr>
        <w:pStyle w:val="860"/>
      </w:pPr>
      <w:r/>
      <w:r/>
    </w:p>
    <w:p>
      <w:pPr>
        <w:pStyle w:val="873"/>
      </w:pPr>
      <w:r/>
      <w:r/>
    </w:p>
    <w:p>
      <w:pPr>
        <w:pStyle w:val="860"/>
      </w:pPr>
      <w:r/>
      <w:r/>
    </w:p>
    <w:p>
      <w:pPr>
        <w:pStyle w:val="873"/>
      </w:pPr>
      <w:r/>
      <w:r/>
    </w:p>
    <w:p>
      <w:pPr>
        <w:pStyle w:val="860"/>
      </w:pPr>
      <w:r/>
      <w:r/>
    </w:p>
    <w:p>
      <w:pPr>
        <w:pStyle w:val="873"/>
      </w:pPr>
      <w:r/>
      <w:r/>
    </w:p>
    <w:p>
      <w:pPr>
        <w:pStyle w:val="860"/>
        <w:jc w:val="center"/>
        <w:spacing w:before="120" w:after="120" w:line="0" w:lineRule="atLeast"/>
        <w:rPr>
          <w:rFonts w:hint="eastAsia" w:ascii="方正小标宋简体" w:hAnsi="方正小标宋简体" w:eastAsia="方正小标宋简体" w:cs="方正小标宋简体"/>
          <w:sz w:val="36"/>
          <w:szCs w:val="36"/>
        </w:rPr>
        <w:outlineLvl w:val="0"/>
      </w:pPr>
      <w:r/>
      <w:bookmarkStart w:id="167" w:name="_Toc120614281"/>
      <w:r>
        <w:rPr>
          <w:rFonts w:hint="eastAsia" w:ascii="方正小标宋简体" w:hAnsi="方正小标宋简体" w:eastAsia="方正小标宋简体" w:cs="方正小标宋简体"/>
          <w:sz w:val="36"/>
          <w:szCs w:val="36"/>
        </w:rPr>
        <w:t xml:space="preserve">第五章  成交标准</w:t>
      </w:r>
      <w:r/>
    </w:p>
    <w:p>
      <w:pPr>
        <w:pStyle w:val="860"/>
        <w:ind w:firstLine="420"/>
        <w:spacing w:line="288" w:lineRule="auto"/>
        <w:rPr>
          <w:rFonts w:hint="eastAsia" w:ascii="Times New Roman" w:hAnsi="Times New Roman"/>
          <w:szCs w:val="21"/>
        </w:rPr>
      </w:pPr>
      <w:r>
        <w:rPr>
          <w:rFonts w:hint="eastAsia" w:ascii="Times New Roman" w:hAnsi="Times New Roman"/>
          <w:szCs w:val="21"/>
        </w:rPr>
      </w:r>
      <w:r/>
    </w:p>
    <w:p>
      <w:pPr>
        <w:pStyle w:val="860"/>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一、成交标准</w:t>
      </w:r>
      <w:r/>
    </w:p>
    <w:p>
      <w:pPr>
        <w:pStyle w:val="860"/>
        <w:ind w:firstLine="480"/>
        <w:spacing w:line="288"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谈判小组从质量和服务均能满足谈判文件实质性要求的供应商中，按照</w:t>
      </w:r>
      <w:r>
        <w:rPr>
          <w:rFonts w:hint="eastAsia" w:ascii="宋体" w:hAnsi="宋体" w:cs="宋体"/>
          <w:sz w:val="24"/>
          <w:szCs w:val="24"/>
        </w:rPr>
        <w:t xml:space="preserve">评审价格</w:t>
      </w:r>
      <w:r>
        <w:rPr>
          <w:rFonts w:hint="eastAsia" w:ascii="宋体" w:hAnsi="宋体" w:cs="宋体"/>
          <w:sz w:val="24"/>
          <w:szCs w:val="24"/>
          <w:lang w:val="zh-CN"/>
        </w:rPr>
        <w:t xml:space="preserve">由低到高顺序推荐</w:t>
      </w:r>
      <w:r>
        <w:rPr>
          <w:rFonts w:hint="eastAsia" w:ascii="宋体" w:hAnsi="宋体"/>
          <w:sz w:val="24"/>
          <w:szCs w:val="24"/>
        </w:rPr>
        <w:t xml:space="preserve">3</w:t>
      </w:r>
      <w:r>
        <w:rPr>
          <w:rFonts w:hint="eastAsia" w:ascii="宋体" w:hAnsi="宋体"/>
          <w:sz w:val="24"/>
          <w:szCs w:val="24"/>
          <w:lang w:val="zh-CN"/>
        </w:rPr>
        <w:t xml:space="preserve">名</w:t>
      </w:r>
      <w:r>
        <w:rPr>
          <w:rFonts w:hint="eastAsia" w:ascii="宋体" w:hAnsi="宋体" w:cs="宋体"/>
          <w:sz w:val="24"/>
          <w:szCs w:val="24"/>
          <w:lang w:val="zh-CN"/>
        </w:rPr>
        <w:t xml:space="preserve">成交候选供应商。</w:t>
      </w:r>
      <w:r/>
    </w:p>
    <w:p>
      <w:pPr>
        <w:pStyle w:val="893"/>
        <w:ind w:firstLine="480"/>
        <w:spacing w:line="288" w:lineRule="auto"/>
        <w:rPr>
          <w:rFonts w:hint="eastAsia" w:ascii="宋体" w:hAnsi="宋体" w:cs="宋体"/>
          <w:sz w:val="24"/>
          <w:szCs w:val="24"/>
        </w:rPr>
      </w:pPr>
      <w:r>
        <w:rPr>
          <w:rFonts w:hint="eastAsia" w:ascii="宋体" w:hAnsi="宋体" w:cs="宋体"/>
          <w:sz w:val="24"/>
          <w:szCs w:val="24"/>
          <w:lang w:val="zh-CN"/>
        </w:rPr>
        <w:t xml:space="preserve">2.</w:t>
      </w:r>
      <w:r>
        <w:rPr>
          <w:rFonts w:hint="eastAsia" w:ascii="宋体" w:hAnsi="宋体" w:cs="宋体"/>
          <w:sz w:val="24"/>
          <w:szCs w:val="24"/>
        </w:rPr>
        <w:t xml:space="preserve">供应商的评审价格如相同，按照供应商在“苏采云系统”最终递交响应文件的先后顺序进行排名。</w:t>
      </w:r>
      <w:r/>
    </w:p>
    <w:p>
      <w:pPr>
        <w:pStyle w:val="860"/>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二、</w:t>
      </w:r>
      <w:r>
        <w:rPr>
          <w:rFonts w:hint="eastAsia" w:ascii="黑体" w:hAnsi="黑体" w:eastAsia="黑体" w:cs="黑体"/>
          <w:sz w:val="24"/>
          <w:szCs w:val="24"/>
        </w:rPr>
        <w:t xml:space="preserve">小微企业价格扣除</w:t>
      </w:r>
      <w:r/>
    </w:p>
    <w:p>
      <w:pPr>
        <w:pStyle w:val="860"/>
        <w:ind w:firstLine="420"/>
        <w:spacing w:line="288" w:lineRule="auto"/>
        <w:rPr>
          <w:rFonts w:hint="eastAsia" w:ascii="宋体" w:hAnsi="宋体"/>
          <w:sz w:val="24"/>
        </w:rPr>
      </w:pPr>
      <w:r>
        <w:rPr>
          <w:rFonts w:hint="eastAsia" w:ascii="宋体" w:hAnsi="宋体"/>
          <w:sz w:val="24"/>
          <w:szCs w:val="24"/>
        </w:rPr>
        <w:t xml:space="preserve">1.</w:t>
      </w:r>
      <w:r>
        <w:rPr>
          <w:rFonts w:hint="eastAsia" w:ascii="宋体" w:hAnsi="宋体"/>
          <w:sz w:val="24"/>
          <w:szCs w:val="24"/>
          <w:lang w:val="zh-CN"/>
        </w:rPr>
        <w:t xml:space="preserve">本项目服务的承接商为小微企业的，</w:t>
      </w:r>
      <w:r>
        <w:rPr>
          <w:rFonts w:hint="eastAsia" w:ascii="宋体" w:hAnsi="宋体"/>
          <w:sz w:val="24"/>
          <w:szCs w:val="24"/>
        </w:rPr>
        <w:t xml:space="preserve">对报价给予10%的扣除，用扣除后的价格参与评审。</w:t>
      </w:r>
      <w:r>
        <w:rPr>
          <w:rFonts w:hint="eastAsia" w:ascii="宋体" w:hAnsi="宋体"/>
          <w:sz w:val="24"/>
        </w:rPr>
      </w:r>
      <w:r/>
    </w:p>
    <w:p>
      <w:pPr>
        <w:pStyle w:val="860"/>
        <w:ind w:firstLine="480"/>
        <w:spacing w:line="288"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860"/>
        <w:ind w:firstLine="480"/>
        <w:spacing w:line="288" w:lineRule="auto"/>
        <w:rPr>
          <w:rFonts w:hint="eastAsia" w:ascii="宋体" w:hAnsi="宋体" w:cs="宋体"/>
          <w:sz w:val="24"/>
          <w:szCs w:val="24"/>
        </w:rPr>
      </w:pPr>
      <w:r>
        <w:rPr>
          <w:rFonts w:hint="eastAsia" w:ascii="宋体" w:hAnsi="宋体" w:cs="宋体"/>
          <w:sz w:val="24"/>
          <w:szCs w:val="24"/>
        </w:rPr>
      </w:r>
      <w:r/>
    </w:p>
    <w:p>
      <w:pPr>
        <w:pStyle w:val="860"/>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第六章  </w:t>
      </w:r>
      <w:bookmarkEnd w:id="164"/>
      <w:r/>
      <w:bookmarkEnd w:id="165"/>
      <w:r/>
      <w:bookmarkEnd w:id="167"/>
      <w:r>
        <w:rPr>
          <w:rFonts w:hint="eastAsia" w:ascii="方正小标宋简体" w:hAnsi="方正小标宋简体" w:eastAsia="方正小标宋简体" w:cs="方正小标宋简体"/>
          <w:sz w:val="36"/>
          <w:szCs w:val="36"/>
        </w:rPr>
        <w:t xml:space="preserve">响应文件格式 </w:t>
      </w:r>
      <w:r/>
    </w:p>
    <w:p>
      <w:pPr>
        <w:pStyle w:val="860"/>
        <w:jc w:val="center"/>
        <w:rPr>
          <w:rFonts w:hint="eastAsia" w:ascii="宋体" w:hAnsi="宋体"/>
          <w:b/>
          <w:sz w:val="72"/>
          <w:szCs w:val="21"/>
        </w:rPr>
      </w:pPr>
      <w:r/>
      <w:bookmarkStart w:id="168" w:name="_Hlt26671244"/>
      <w:r/>
      <w:bookmarkEnd w:id="168"/>
      <w:r/>
      <w:bookmarkStart w:id="169" w:name="_Hlt26955039"/>
      <w:r/>
      <w:bookmarkEnd w:id="169"/>
      <w:r/>
      <w:bookmarkStart w:id="170" w:name="_Toc26554094"/>
      <w:r/>
      <w:bookmarkStart w:id="171" w:name="_Toc120614282"/>
      <w:r/>
      <w:bookmarkStart w:id="172" w:name="_Toc49090576"/>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t xml:space="preserve">响  应  文  件</w:t>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60"/>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860"/>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p>
    <w:p>
      <w:pPr>
        <w:pStyle w:val="860"/>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spacing w:line="440" w:lineRule="exact"/>
        <w:rPr>
          <w:rFonts w:ascii="宋体" w:hAnsi="宋体"/>
          <w:szCs w:val="21"/>
        </w:rPr>
      </w:pPr>
      <w:r>
        <w:rPr>
          <w:rFonts w:ascii="宋体" w:hAnsi="宋体"/>
          <w:szCs w:val="21"/>
        </w:rPr>
      </w:r>
      <w:r/>
    </w:p>
    <w:p>
      <w:pPr>
        <w:pStyle w:val="860"/>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w:t>
      </w:r>
      <w:r>
        <w:rPr>
          <w:rFonts w:hint="eastAsia" w:ascii="宋体" w:hAnsi="宋体"/>
          <w:b/>
          <w:bCs/>
          <w:sz w:val="32"/>
          <w:szCs w:val="32"/>
        </w:rPr>
        <w:t xml:space="preserve">文件目录</w:t>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四、谈判响应函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五、谈判报价表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860"/>
        <w:ind w:firstLine="560"/>
        <w:spacing w:line="600" w:lineRule="exact"/>
        <w:rPr>
          <w:rFonts w:ascii="宋体" w:hAnsi="宋体"/>
          <w:i/>
          <w:sz w:val="24"/>
          <w:szCs w:val="21"/>
          <w:u w:val="single"/>
        </w:rPr>
      </w:pPr>
      <w:r>
        <w:rPr>
          <w:rFonts w:hint="eastAsia" w:ascii="宋体" w:hAnsi="宋体" w:cs="宋体"/>
          <w:sz w:val="28"/>
          <w:szCs w:val="28"/>
        </w:rPr>
        <w:t xml:space="preserve">十、残疾人福利性单位声明函（如有）</w:t>
      </w:r>
      <w:r>
        <w:rPr>
          <w:rFonts w:ascii="宋体" w:hAnsi="宋体"/>
          <w:i/>
          <w:sz w:val="24"/>
          <w:szCs w:val="21"/>
          <w:u w:val="single"/>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4"/>
        </w:rPr>
      </w:pPr>
      <w:r>
        <w:rPr>
          <w:rFonts w:ascii="宋体" w:hAnsi="宋体"/>
          <w:sz w:val="24"/>
          <w:szCs w:val="21"/>
        </w:rPr>
      </w:r>
      <w:r>
        <w:rPr>
          <w:rFonts w:ascii="宋体" w:hAnsi="宋体"/>
          <w:sz w:val="24"/>
          <w:szCs w:val="21"/>
        </w:rPr>
      </w: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rPr>
          <w:rFonts w:ascii="宋体" w:hAnsi="宋体"/>
          <w:sz w:val="24"/>
          <w:szCs w:val="24"/>
        </w:rPr>
      </w:r>
      <w:r/>
    </w:p>
    <w:p>
      <w:pPr>
        <w:pStyle w:val="860"/>
        <w:ind w:firstLine="480"/>
        <w:spacing w:line="440" w:lineRule="exact"/>
        <w:rPr>
          <w:rFonts w:ascii="宋体" w:hAnsi="宋体"/>
          <w:sz w:val="24"/>
          <w:szCs w:val="24"/>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860"/>
        <w:spacing w:line="460" w:lineRule="exact"/>
        <w:rPr>
          <w:rFonts w:hint="eastAsia" w:ascii="宋体" w:hAnsi="宋体"/>
          <w:sz w:val="24"/>
          <w:szCs w:val="24"/>
        </w:rPr>
      </w:pPr>
      <w:r>
        <w:rPr>
          <w:rFonts w:hint="eastAsia" w:ascii="宋体" w:hAnsi="宋体"/>
          <w:sz w:val="24"/>
          <w:szCs w:val="24"/>
        </w:rPr>
        <w:t xml:space="preserve">南京市公共资源交易中心：</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p>
    <w:p>
      <w:pPr>
        <w:pStyle w:val="860"/>
        <w:ind w:firstLine="492"/>
        <w:spacing w:line="460" w:lineRule="exact"/>
        <w:rPr>
          <w:rFonts w:hint="eastAsia" w:ascii="宋体" w:hAnsi="宋体"/>
          <w:sz w:val="24"/>
          <w:szCs w:val="24"/>
        </w:rPr>
      </w:pPr>
      <w:r>
        <w:rPr>
          <w:rFonts w:hint="eastAsia" w:ascii="宋体" w:hAnsi="宋体"/>
          <w:sz w:val="24"/>
          <w:szCs w:val="24"/>
        </w:rPr>
        <w:t xml:space="preserve">（1）营业执照副本或</w:t>
      </w:r>
      <w:r>
        <w:rPr>
          <w:rFonts w:hint="eastAsia" w:ascii="宋体" w:hAnsi="宋体"/>
          <w:sz w:val="24"/>
          <w:szCs w:val="24"/>
        </w:rPr>
        <w:t xml:space="preserve">事业单位法人登记证书或其他证明材料；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0"/>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860"/>
        <w:ind w:firstLine="492"/>
        <w:spacing w:line="460" w:lineRule="exact"/>
        <w:rPr>
          <w:sz w:val="24"/>
          <w:szCs w:val="24"/>
        </w:rPr>
      </w:pPr>
      <w:r>
        <w:rPr>
          <w:sz w:val="24"/>
          <w:szCs w:val="24"/>
        </w:rPr>
      </w:r>
      <w:r/>
    </w:p>
    <w:p>
      <w:pPr>
        <w:pStyle w:val="978"/>
        <w:rPr>
          <w:sz w:val="24"/>
          <w:szCs w:val="24"/>
        </w:rPr>
      </w:pPr>
      <w:r>
        <w:rPr>
          <w:sz w:val="24"/>
          <w:szCs w:val="24"/>
        </w:rPr>
      </w:r>
      <w:r/>
    </w:p>
    <w:p>
      <w:pPr>
        <w:pStyle w:val="860"/>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64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rPr>
          <w:sz w:val="24"/>
          <w:szCs w:val="24"/>
        </w:rPr>
      </w:pPr>
      <w:r>
        <w:rPr>
          <w:sz w:val="24"/>
          <w:szCs w:val="24"/>
        </w:rPr>
      </w:r>
      <w:r/>
    </w:p>
    <w:p>
      <w:pPr>
        <w:pStyle w:val="860"/>
        <w:spacing w:line="440" w:lineRule="exact"/>
        <w:rPr>
          <w:rFonts w:hint="eastAsia" w:ascii="宋体" w:hAnsi="宋体"/>
          <w:sz w:val="24"/>
          <w:szCs w:val="24"/>
        </w:rPr>
      </w:pPr>
      <w:r>
        <w:rPr>
          <w:rFonts w:hint="eastAsia" w:ascii="宋体" w:hAnsi="宋体"/>
          <w:sz w:val="24"/>
          <w:szCs w:val="24"/>
        </w:rPr>
      </w:r>
      <w:r/>
    </w:p>
    <w:p>
      <w:pPr>
        <w:pStyle w:val="860"/>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48"/>
        <w:ind w:firstLine="480"/>
        <w:rPr>
          <w:rFonts w:hint="eastAsia"/>
          <w:sz w:val="24"/>
          <w:szCs w:val="24"/>
        </w:rPr>
      </w:pPr>
      <w:r>
        <w:rPr>
          <w:rFonts w:hint="eastAsia"/>
          <w:sz w:val="24"/>
          <w:szCs w:val="24"/>
        </w:rPr>
        <w:t xml:space="preserve">本项目申请人的特定资格要求中要求提供的材料。</w:t>
      </w:r>
      <w:r/>
    </w:p>
    <w:p>
      <w:pPr>
        <w:pStyle w:val="860"/>
        <w:ind w:firstLine="480"/>
        <w:spacing w:line="440" w:lineRule="exact"/>
        <w:rPr>
          <w:rFonts w:hint="eastAsia" w:ascii="宋体" w:hAnsi="宋体"/>
          <w:sz w:val="24"/>
          <w:szCs w:val="24"/>
        </w:rPr>
      </w:pPr>
      <w:r>
        <w:rPr>
          <w:rFonts w:hint="eastAsia" w:ascii="宋体" w:hAnsi="宋体"/>
          <w:sz w:val="24"/>
          <w:szCs w:val="24"/>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bookmarkEnd w:id="170"/>
      <w:r/>
      <w:bookmarkEnd w:id="171"/>
      <w:r/>
      <w:bookmarkEnd w:id="172"/>
      <w:r/>
      <w:bookmarkStart w:id="173" w:name="_Toc120614284"/>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860"/>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948"/>
        <w:ind w:firstLine="480"/>
        <w:spacing w:line="420" w:lineRule="exact"/>
        <w:rPr>
          <w:rFonts w:hint="eastAsia"/>
          <w:sz w:val="24"/>
          <w:szCs w:val="24"/>
        </w:rPr>
      </w:pPr>
      <w:r>
        <w:rPr>
          <w:rFonts w:hint="eastAsia"/>
          <w:sz w:val="24"/>
          <w:szCs w:val="24"/>
        </w:rPr>
      </w:r>
      <w:r/>
    </w:p>
    <w:p>
      <w:pPr>
        <w:pStyle w:val="948"/>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48"/>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48"/>
        <w:ind w:firstLine="480"/>
        <w:spacing w:line="480" w:lineRule="exact"/>
        <w:rPr>
          <w:rFonts w:hint="eastAsia"/>
          <w:sz w:val="24"/>
          <w:szCs w:val="24"/>
        </w:rPr>
      </w:pPr>
      <w:r>
        <w:rPr>
          <w:rFonts w:hint="eastAsia"/>
          <w:sz w:val="24"/>
          <w:szCs w:val="24"/>
        </w:rPr>
        <w:t xml:space="preserve">被授权人身份证号码：</w:t>
      </w:r>
      <w:r/>
    </w:p>
    <w:p>
      <w:pPr>
        <w:pStyle w:val="948"/>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48"/>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48"/>
        <w:ind w:firstLine="480"/>
        <w:spacing w:line="480" w:lineRule="exact"/>
        <w:rPr>
          <w:rFonts w:hint="eastAsia"/>
          <w:sz w:val="24"/>
          <w:szCs w:val="24"/>
          <w:u w:val="single"/>
        </w:rPr>
      </w:pPr>
      <w:r>
        <w:rPr>
          <w:rFonts w:hint="eastAsia"/>
          <w:sz w:val="24"/>
          <w:szCs w:val="24"/>
        </w:rPr>
        <w:t xml:space="preserve">单位地</w:t>
      </w:r>
      <w:r>
        <w:rPr>
          <w:rFonts w:hint="eastAsia"/>
          <w:sz w:val="24"/>
          <w:szCs w:val="24"/>
        </w:rPr>
        <w:t xml:space="preserve">址：</w:t>
      </w:r>
      <w:r>
        <w:rPr>
          <w:rFonts w:hint="eastAsia"/>
          <w:sz w:val="24"/>
          <w:szCs w:val="24"/>
          <w:u w:val="single"/>
        </w:rPr>
      </w:r>
      <w:r/>
    </w:p>
    <w:p>
      <w:pPr>
        <w:pStyle w:val="948"/>
        <w:ind w:firstLine="480"/>
        <w:spacing w:line="480" w:lineRule="exact"/>
        <w:rPr>
          <w:rFonts w:hint="eastAsia"/>
          <w:sz w:val="24"/>
          <w:szCs w:val="24"/>
        </w:rPr>
      </w:pPr>
      <w:r>
        <w:rPr>
          <w:rFonts w:hint="eastAsia"/>
          <w:sz w:val="24"/>
          <w:szCs w:val="24"/>
        </w:rPr>
        <w:t xml:space="preserve">日    期：</w:t>
      </w:r>
      <w:bookmarkStart w:id="174" w:name="_格式3__银行出具的资信证明"/>
      <w:r/>
      <w:bookmarkEnd w:id="174"/>
      <w:r/>
      <w:bookmarkStart w:id="175" w:name="_Hlt26671380"/>
      <w:r/>
      <w:bookmarkEnd w:id="175"/>
      <w:r/>
      <w:bookmarkStart w:id="176" w:name="_Hlt26955070"/>
      <w:r/>
      <w:bookmarkEnd w:id="176"/>
      <w:r>
        <w:rPr>
          <w:rFonts w:hint="eastAsia"/>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四、谈判响应函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谈判响应函</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致：南京市公共资源交易中心</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根据贵方编号为</w:t>
      </w:r>
      <w:r>
        <w:rPr>
          <w:rFonts w:hint="eastAsia" w:ascii="宋体" w:hAnsi="宋体"/>
          <w:u w:val="single"/>
          <w:lang w:eastAsia="zh-CN"/>
        </w:rPr>
        <w:t xml:space="preserve">                             </w:t>
      </w:r>
      <w:r>
        <w:rPr>
          <w:rFonts w:hint="eastAsia" w:ascii="宋体" w:hAnsi="宋体"/>
          <w:lang w:eastAsia="zh-CN"/>
        </w:rPr>
        <w:t xml:space="preserve">的</w:t>
      </w:r>
      <w:r>
        <w:rPr>
          <w:rFonts w:hint="eastAsia" w:ascii="宋体" w:hAnsi="宋体"/>
          <w:szCs w:val="21"/>
          <w:lang w:eastAsia="zh-CN"/>
        </w:rPr>
        <w:t xml:space="preserve">项目</w:t>
      </w:r>
      <w:r>
        <w:rPr>
          <w:rFonts w:hint="eastAsia" w:ascii="宋体" w:hAnsi="宋体"/>
          <w:szCs w:val="21"/>
          <w:lang w:eastAsia="zh-CN"/>
        </w:rPr>
        <w:t xml:space="preserve">谈判文件，我方正式提</w:t>
      </w:r>
      <w:r>
        <w:rPr>
          <w:rFonts w:hint="eastAsia" w:ascii="宋体" w:hAnsi="宋体" w:cs="宋体"/>
          <w:lang w:eastAsia="zh-CN"/>
        </w:rPr>
        <w:t xml:space="preserve">交谈判响应函，</w:t>
      </w:r>
      <w:r>
        <w:rPr>
          <w:rFonts w:hint="eastAsia" w:ascii="宋体" w:hAnsi="宋体"/>
          <w:szCs w:val="21"/>
          <w:lang w:eastAsia="zh-CN"/>
        </w:rPr>
        <w:t xml:space="preserve">并宣布同意如下内容：</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1.按谈判文件规定的各项要求，向买方提供所需货物、服务（包含与货物相关的服务或与服务相关的货物）。</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2.我们已详细审核全部谈判文件及其有效补充文件，我们知道必须放弃提出含糊不清或误解问题的权利。</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3.我们同意从规定的谈判日期起遵循本响应文件，并在规定的谈判有效期期满之前均具有约束力。</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4.同意向贵方提供贵方可能另外要求的与谈判有关的任何证据或资料，并保证我方已提供和将要提供的文件是真实的、准确的。</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5.一旦我方成交,我方将根据谈判文件的规定，严格履行合同的责任和义务,并保证在谈判文件规定的时间完成项目，交付买方验收、使用。</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6.</w:t>
      </w:r>
      <w:r>
        <w:rPr>
          <w:rFonts w:hint="eastAsia" w:ascii="宋体" w:hAnsi="宋体"/>
          <w:lang w:eastAsia="zh-CN"/>
        </w:rPr>
        <w:t xml:space="preserve">我方为：</w:t>
      </w:r>
      <w:r>
        <w:rPr>
          <w:rFonts w:ascii="Wingdings" w:hAnsi="Wingdings" w:eastAsia="Wingdings" w:cs="Wingdings"/>
        </w:rPr>
        <w:t xml:space="preserve">¨</w:t>
      </w:r>
      <w:r>
        <w:rPr>
          <w:rFonts w:hint="eastAsia" w:ascii="宋体" w:hAnsi="宋体"/>
          <w:lang w:eastAsia="zh-CN"/>
        </w:rPr>
        <w:t xml:space="preserve">大型企业 </w:t>
      </w:r>
      <w:r>
        <w:rPr>
          <w:rFonts w:ascii="Wingdings" w:hAnsi="Wingdings" w:eastAsia="Wingdings" w:cs="Wingdings"/>
        </w:rPr>
        <w:t xml:space="preserve">¨</w:t>
      </w:r>
      <w:r>
        <w:rPr>
          <w:rFonts w:hint="eastAsia" w:ascii="宋体" w:hAnsi="宋体"/>
          <w:lang w:eastAsia="zh-CN"/>
        </w:rPr>
        <w:t xml:space="preserve">中型企业 </w:t>
      </w:r>
      <w:r>
        <w:rPr>
          <w:rFonts w:ascii="Wingdings" w:hAnsi="Wingdings" w:eastAsia="Wingdings" w:cs="Wingdings"/>
        </w:rPr>
        <w:t xml:space="preserve">¨</w:t>
      </w:r>
      <w:r>
        <w:rPr>
          <w:rFonts w:hint="eastAsia" w:ascii="宋体" w:hAnsi="宋体"/>
          <w:lang w:eastAsia="zh-CN"/>
        </w:rPr>
        <w:t xml:space="preserve">小型企业 </w:t>
      </w:r>
      <w:r>
        <w:rPr>
          <w:rFonts w:ascii="Wingdings" w:hAnsi="Wingdings" w:eastAsia="Wingdings" w:cs="Wingdings"/>
        </w:rPr>
        <w:t xml:space="preserve">¨</w:t>
      </w:r>
      <w:r>
        <w:rPr>
          <w:rFonts w:hint="eastAsia" w:ascii="宋体" w:hAnsi="宋体"/>
          <w:lang w:eastAsia="zh-CN"/>
        </w:rPr>
        <w:t xml:space="preserve">微型企业（在对应</w:t>
      </w:r>
      <w:r>
        <w:rPr>
          <w:rFonts w:ascii="Wingdings" w:hAnsi="Wingdings" w:eastAsia="Wingdings" w:cs="Wingdings"/>
        </w:rPr>
        <w:t xml:space="preserve">¨</w:t>
      </w:r>
      <w:r>
        <w:rPr>
          <w:rFonts w:hint="eastAsia" w:ascii="宋体" w:hAnsi="宋体" w:cs="宋体"/>
          <w:lang w:eastAsia="zh-CN"/>
        </w:rPr>
        <w:t xml:space="preserve">内</w:t>
      </w:r>
      <w:r>
        <w:rPr>
          <w:rFonts w:hint="eastAsia" w:ascii="宋体" w:hAnsi="宋体"/>
          <w:lang w:val="zh-CN" w:eastAsia="zh-CN"/>
        </w:rPr>
        <w:t xml:space="preserve">打</w:t>
      </w:r>
      <w:r>
        <w:rPr>
          <w:rFonts w:hint="eastAsia" w:ascii="宋体" w:hAnsi="宋体" w:cs="Verdana"/>
          <w:lang w:val="zh-CN" w:eastAsia="zh-CN"/>
        </w:rPr>
        <w:t xml:space="preserve">“√”</w:t>
      </w:r>
      <w:r>
        <w:rPr>
          <w:rFonts w:hint="eastAsia" w:ascii="宋体" w:hAnsi="宋体"/>
          <w:lang w:eastAsia="zh-CN"/>
        </w:rPr>
        <w:t xml:space="preserve">）</w:t>
      </w:r>
      <w:r>
        <w:rPr>
          <w:rFonts w:hint="eastAsia" w:ascii="宋体" w:hAnsi="宋体"/>
          <w:szCs w:val="21"/>
          <w:lang w:eastAsia="zh-CN"/>
        </w:rPr>
      </w:r>
      <w:r/>
    </w:p>
    <w:p>
      <w:pPr>
        <w:pStyle w:val="873"/>
        <w:ind w:firstLine="480"/>
      </w:pPr>
      <w:r>
        <w:rPr>
          <w:rFonts w:hint="eastAsia"/>
          <w:sz w:val="24"/>
          <w:szCs w:val="24"/>
        </w:rPr>
        <w:t xml:space="preserve">7.我方为：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8.我方与本谈判有关的正式通讯地址为：</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地  址：</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邮  编：</w:t>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电  话：</w:t>
      </w:r>
      <w:r>
        <w:rPr>
          <w:rFonts w:hint="eastAsia" w:ascii="宋体" w:hAnsi="宋体"/>
          <w:szCs w:val="21"/>
          <w:u w:val="single"/>
          <w:lang w:eastAsia="zh-CN"/>
        </w:rPr>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传  真：</w:t>
      </w:r>
      <w:r>
        <w:rPr>
          <w:rFonts w:hint="eastAsia" w:ascii="宋体" w:hAnsi="宋体"/>
          <w:szCs w:val="21"/>
          <w:u w:val="single"/>
          <w:lang w:eastAsia="zh-CN"/>
        </w:rPr>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开户行：</w:t>
      </w:r>
      <w:r>
        <w:rPr>
          <w:rFonts w:hint="eastAsia" w:ascii="宋体" w:hAnsi="宋体"/>
          <w:szCs w:val="21"/>
          <w:u w:val="single"/>
          <w:lang w:eastAsia="zh-CN"/>
        </w:rPr>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账  号：</w:t>
      </w:r>
      <w:r>
        <w:rPr>
          <w:rFonts w:hint="eastAsia" w:ascii="宋体" w:hAnsi="宋体"/>
          <w:szCs w:val="21"/>
          <w:u w:val="single"/>
          <w:lang w:eastAsia="zh-CN"/>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日  期：</w:t>
      </w:r>
      <w:r/>
    </w:p>
    <w:p>
      <w:pPr>
        <w:pStyle w:val="86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0"/>
        <w:ind w:firstLine="420"/>
        <w:rPr>
          <w:rFonts w:ascii="Times New Roman" w:hAnsi="Times New Roman"/>
          <w:sz w:val="24"/>
          <w:szCs w:val="24"/>
        </w:rPr>
      </w:pPr>
      <w:r/>
      <w:bookmarkEnd w:id="156"/>
      <w:r/>
      <w:bookmarkEnd w:id="157"/>
      <w:r/>
      <w:bookmarkEnd w:id="173"/>
      <w:r>
        <w:rPr>
          <w:rFonts w:ascii="Times New Roman" w:hAnsi="Times New Roman"/>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五、谈判报价表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谈判报价表</w:t>
      </w:r>
      <w:r/>
    </w:p>
    <w:p>
      <w:pPr>
        <w:pStyle w:val="860"/>
        <w:rPr>
          <w:rFonts w:hint="eastAsia" w:ascii="宋体" w:hAnsi="宋体"/>
          <w:sz w:val="24"/>
          <w:szCs w:val="24"/>
        </w:rPr>
      </w:pPr>
      <w:r>
        <w:rPr>
          <w:rFonts w:hint="eastAsia" w:ascii="宋体" w:hAnsi="宋体"/>
          <w:sz w:val="24"/>
          <w:szCs w:val="24"/>
        </w:rPr>
        <w:t xml:space="preserve">供应商名称：（加盖电子公章）</w:t>
      </w:r>
      <w:r/>
    </w:p>
    <w:p>
      <w:pPr>
        <w:pStyle w:val="860"/>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0"/>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50"/>
              <w:ind w:firstLine="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0"/>
        <w:rPr>
          <w:rFonts w:ascii="宋体" w:hAnsi="宋体"/>
          <w:sz w:val="24"/>
          <w:szCs w:val="24"/>
        </w:rPr>
      </w:pPr>
      <w:r>
        <w:rPr>
          <w:rFonts w:ascii="宋体" w:hAnsi="宋体"/>
          <w:sz w:val="24"/>
          <w:szCs w:val="24"/>
        </w:rPr>
      </w:r>
      <w:r/>
    </w:p>
    <w:p>
      <w:pPr>
        <w:pStyle w:val="860"/>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0"/>
        <w:rPr>
          <w:rFonts w:ascii="Times New Roman" w:hAnsi="Times New Roman"/>
          <w:sz w:val="24"/>
          <w:szCs w:val="24"/>
        </w:rPr>
      </w:pPr>
      <w:r>
        <w:rPr>
          <w:rFonts w:ascii="Times New Roman" w:hAnsi="Times New Roman"/>
          <w:sz w:val="24"/>
          <w:szCs w:val="24"/>
        </w:rPr>
      </w:r>
      <w:r/>
    </w:p>
    <w:p>
      <w:pPr>
        <w:pStyle w:val="860"/>
      </w:pPr>
      <w:r/>
      <w:r/>
    </w:p>
    <w:p>
      <w:pPr>
        <w:pStyle w:val="860"/>
      </w:pPr>
      <w:r/>
      <w:r/>
    </w:p>
    <w:p>
      <w:pPr>
        <w:pStyle w:val="873"/>
      </w:pPr>
      <w:r/>
      <w:r/>
    </w:p>
    <w:p>
      <w:pPr>
        <w:pStyle w:val="860"/>
      </w:pPr>
      <w:r/>
      <w:r/>
    </w:p>
    <w:p>
      <w:pPr>
        <w:pStyle w:val="873"/>
      </w:pPr>
      <w:r/>
      <w:r/>
    </w:p>
    <w:p>
      <w:pPr>
        <w:pStyle w:val="860"/>
      </w:pPr>
      <w:r/>
      <w:r/>
    </w:p>
    <w:p>
      <w:pPr>
        <w:pStyle w:val="873"/>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r/>
      <w:r/>
    </w:p>
    <w:p>
      <w:r/>
      <w:r/>
    </w:p>
    <w:p>
      <w:r/>
      <w:r/>
    </w:p>
    <w:p>
      <w:r/>
      <w:r/>
    </w:p>
    <w:p>
      <w:r/>
      <w:r/>
    </w:p>
    <w:p>
      <w:r/>
      <w:r/>
    </w:p>
    <w:p>
      <w:r/>
      <w:r/>
    </w:p>
    <w:p>
      <w:r/>
      <w:r/>
    </w:p>
    <w:p>
      <w:pPr>
        <w:pStyle w:val="860"/>
      </w:pPr>
      <w:r/>
      <w:r/>
    </w:p>
    <w:p>
      <w:pPr>
        <w:pStyle w:val="860"/>
      </w:pPr>
      <w:r/>
      <w:r/>
    </w:p>
    <w:p>
      <w:pPr>
        <w:pStyle w:val="860"/>
      </w:pPr>
      <w:r/>
      <w:r/>
    </w:p>
    <w:p>
      <w:pPr>
        <w:pStyle w:val="860"/>
      </w:pPr>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六、分项报价表</w:t>
      </w:r>
      <w:r/>
    </w:p>
    <w:p>
      <w:pPr>
        <w:pStyle w:val="860"/>
        <w:jc w:val="center"/>
        <w:spacing w:line="360" w:lineRule="auto"/>
        <w:rPr>
          <w:rFonts w:hint="eastAsia" w:ascii="黑体" w:eastAsia="黑体"/>
          <w:sz w:val="32"/>
          <w:szCs w:val="32"/>
        </w:rPr>
        <w:outlineLvl w:val="2"/>
      </w:pPr>
      <w:r>
        <w:rPr>
          <w:rFonts w:hint="eastAsia" w:ascii="黑体" w:eastAsia="黑体"/>
          <w:sz w:val="32"/>
          <w:szCs w:val="32"/>
        </w:rPr>
        <w:t xml:space="preserve">分项报价表</w:t>
      </w:r>
      <w:r/>
    </w:p>
    <w:tbl>
      <w:tblPr>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6</w:t>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7</w:t>
            </w:r>
            <w:r/>
          </w:p>
        </w:tc>
        <w:tc>
          <w:tcPr>
            <w:tcW w:w="1322"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38"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60"/>
              <w:spacing w:line="0" w:lineRule="atLeast"/>
              <w:rPr>
                <w:rFonts w:hint="eastAsia" w:ascii="宋体" w:hAnsi="宋体"/>
                <w:sz w:val="24"/>
                <w:szCs w:val="24"/>
              </w:rPr>
            </w:pPr>
            <w:r>
              <w:rPr>
                <w:rFonts w:hint="eastAsia" w:ascii="宋体" w:hAnsi="宋体"/>
                <w:sz w:val="24"/>
                <w:szCs w:val="24"/>
              </w:rPr>
              <w:t xml:space="preserve">总报价（元）：</w:t>
            </w:r>
            <w:r/>
          </w:p>
        </w:tc>
      </w:tr>
    </w:tbl>
    <w:p>
      <w:pPr>
        <w:pStyle w:val="860"/>
        <w:jc w:val="center"/>
        <w:rPr>
          <w:rFonts w:hint="eastAsia" w:ascii="黑体" w:hAnsi="黑体" w:eastAsia="黑体"/>
          <w:b/>
          <w:sz w:val="24"/>
          <w:szCs w:val="24"/>
        </w:rPr>
      </w:pPr>
      <w:r>
        <w:rPr>
          <w:rFonts w:hint="eastAsia" w:ascii="黑体" w:hAnsi="黑体" w:eastAsia="黑体"/>
          <w:b/>
          <w:sz w:val="24"/>
          <w:szCs w:val="24"/>
        </w:rPr>
      </w:r>
      <w:r/>
    </w:p>
    <w:p>
      <w:pPr>
        <w:pStyle w:val="860"/>
        <w:ind w:firstLine="480"/>
        <w:rPr>
          <w:rFonts w:hint="eastAsia" w:ascii="宋体" w:hAnsi="宋体"/>
          <w:sz w:val="24"/>
          <w:szCs w:val="24"/>
        </w:rPr>
      </w:pPr>
      <w:r>
        <w:rPr>
          <w:rFonts w:hint="eastAsia" w:ascii="宋体" w:hAnsi="宋体"/>
          <w:sz w:val="24"/>
          <w:szCs w:val="24"/>
        </w:rPr>
        <w:t xml:space="preserve">供应商名称：（加盖电子公章）</w:t>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1.“总报价”应包括为完成整个项目所产生的所有费用，采购文件另有规定的除外。</w:t>
      </w:r>
      <w:r/>
    </w:p>
    <w:p>
      <w:pPr>
        <w:pStyle w:val="926"/>
        <w:ind w:firstLine="480"/>
        <w:jc w:val="both"/>
        <w:spacing w:before="0" w:beforeAutospacing="0" w:after="0" w:afterAutospacing="0" w:line="360" w:lineRule="auto"/>
        <w:rPr>
          <w:rFonts w:hint="eastAsia"/>
        </w:rPr>
      </w:pPr>
      <w:r>
        <w:rPr>
          <w:rFonts w:hint="eastAsia"/>
        </w:rPr>
        <w:t xml:space="preserve">2.《分项报价表中》“总报价”应当与《谈判报价表》中“总报价”一致。</w:t>
      </w:r>
      <w:r/>
    </w:p>
    <w:p>
      <w:pPr>
        <w:pStyle w:val="926"/>
        <w:ind w:firstLine="480"/>
        <w:jc w:val="both"/>
        <w:spacing w:before="0" w:beforeAutospacing="0" w:after="0" w:afterAutospacing="0" w:line="360" w:lineRule="auto"/>
        <w:rPr>
          <w:rFonts w:hint="eastAsia"/>
        </w:rPr>
      </w:pPr>
      <w:r>
        <w:rPr>
          <w:rFonts w:hint="eastAsia"/>
        </w:rPr>
        <w:t xml:space="preserve">3.供应商所报产品须与“第四章-项目清单”中的产品一一对应，如有缺项、漏项或者超出单价上限，视为无效响应。</w:t>
      </w:r>
      <w:r>
        <w:rPr>
          <w:rFonts w:hint="eastAsia"/>
        </w:rPr>
        <w:t xml:space="preserve">“项目清单”中分项仅为一项的</w:t>
      </w:r>
      <w:r>
        <w:rPr>
          <w:rFonts w:hint="eastAsia"/>
        </w:rPr>
        <w:t xml:space="preserve">，此表无需提供。</w:t>
      </w:r>
      <w:r>
        <w:rPr>
          <w:rFonts w:hint="eastAsia"/>
        </w:rPr>
      </w:r>
      <w:r/>
    </w:p>
    <w:p>
      <w:pPr>
        <w:pStyle w:val="926"/>
        <w:ind w:firstLine="480"/>
        <w:jc w:val="both"/>
        <w:spacing w:before="0" w:beforeAutospacing="0" w:after="0" w:afterAutospacing="0" w:line="360" w:lineRule="auto"/>
      </w:pPr>
      <w:r>
        <w:rPr>
          <w:rFonts w:hint="eastAsia"/>
        </w:rPr>
        <w:t xml:space="preserve">4.行数不够，可自行添加。</w:t>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七、技术要求响应及偏离表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58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谈判文件要求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响应情况</w:t>
            </w:r>
            <w:r/>
          </w:p>
        </w:tc>
        <w:tc>
          <w:tcPr>
            <w:tcW w:w="3376"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480"/>
        <w:rPr>
          <w:rFonts w:ascii="宋体" w:hAnsi="宋体" w:cs="宋体"/>
          <w:sz w:val="24"/>
          <w:szCs w:val="24"/>
        </w:rPr>
      </w:pPr>
      <w:r>
        <w:rPr>
          <w:rFonts w:ascii="宋体" w:hAnsi="宋体" w:cs="宋体"/>
          <w:sz w:val="24"/>
          <w:szCs w:val="24"/>
        </w:rPr>
      </w:r>
      <w:r/>
    </w:p>
    <w:p>
      <w:pPr>
        <w:pStyle w:val="860"/>
      </w:p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1.供应商须对谈判文件技术要求中的实质性要求（斜体下划线内容或打“★”内容）及其他要求做出明确响应，否则视为无效响应。</w:t>
      </w:r>
      <w:r/>
    </w:p>
    <w:p>
      <w:pPr>
        <w:pStyle w:val="92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26"/>
        <w:ind w:firstLine="480"/>
        <w:jc w:val="both"/>
        <w:spacing w:before="0" w:beforeAutospacing="0" w:after="0" w:afterAutospacing="0" w:line="360" w:lineRule="auto"/>
        <w:rPr>
          <w:rFonts w:hint="eastAsia"/>
        </w:rPr>
      </w:pPr>
      <w:r>
        <w:rPr>
          <w:rFonts w:hint="eastAsia"/>
        </w:rPr>
        <w:t xml:space="preserve">3.行数不够，可自行添加。</w:t>
      </w:r>
      <w:r/>
    </w:p>
    <w:p>
      <w:pPr>
        <w:pStyle w:val="860"/>
      </w:pPr>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八、商务要求响应及偏离表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620"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谈判文件要求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响应情况</w:t>
            </w:r>
            <w:r/>
          </w:p>
        </w:tc>
        <w:tc>
          <w:tcPr>
            <w:tcW w:w="3352"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rPr>
          <w:rFonts w:hint="eastAsia"/>
        </w:rPr>
      </w:pPr>
      <w:r>
        <w:rPr>
          <w:rFonts w:hint="eastAsia"/>
        </w:rPr>
        <w:t xml:space="preserve">备注：</w:t>
      </w:r>
      <w:r>
        <w:rPr>
          <w:rFonts w:hint="eastAsia"/>
        </w:rPr>
        <w:t xml:space="preserve"> </w:t>
      </w:r>
      <w:r/>
    </w:p>
    <w:p>
      <w:pPr>
        <w:pStyle w:val="926"/>
        <w:ind w:firstLine="480"/>
        <w:jc w:val="both"/>
        <w:spacing w:before="0" w:beforeAutospacing="0" w:after="0" w:afterAutospacing="0" w:line="360" w:lineRule="auto"/>
      </w:pPr>
      <w:r>
        <w:rPr>
          <w:rFonts w:hint="eastAsia"/>
        </w:rPr>
        <w:t xml:space="preserve">1.供应商须对谈判文件商务要求中的实质性要求（斜体下划线内容或打“★”内容）做出明确响应，否则视为无效响应。</w:t>
      </w:r>
      <w:r/>
    </w:p>
    <w:p>
      <w:pPr>
        <w:pStyle w:val="926"/>
        <w:ind w:firstLine="480"/>
        <w:jc w:val="both"/>
        <w:spacing w:before="0" w:beforeAutospacing="0" w:after="0" w:afterAutospacing="0" w:line="360" w:lineRule="auto"/>
        <w:rPr>
          <w:rFonts w:hint="eastAsia"/>
        </w:rPr>
      </w:pPr>
      <w:r>
        <w:rPr>
          <w:rFonts w:hint="eastAsia"/>
        </w:rPr>
        <w:t xml:space="preserve">2.行数不够，可自行添加。</w:t>
      </w:r>
      <w:r/>
    </w:p>
    <w:p>
      <w:pPr>
        <w:pStyle w:val="860"/>
      </w:pPr>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九、中小企业声明函</w:t>
      </w:r>
      <w:r/>
    </w:p>
    <w:p>
      <w:pPr>
        <w:pStyle w:val="860"/>
        <w:jc w:val="center"/>
        <w:spacing w:line="336"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pStyle w:val="860"/>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860"/>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行业（谈判文件中明确的所属行业）；承接企业为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行业（谈判文件中明</w:t>
      </w:r>
      <w:r>
        <w:rPr>
          <w:rFonts w:hint="eastAsia" w:ascii="宋体" w:hAnsi="宋体"/>
          <w:sz w:val="24"/>
          <w:szCs w:val="24"/>
        </w:rPr>
        <w:t xml:space="preserve">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pStyle w:val="860"/>
        <w:ind w:firstLine="360"/>
        <w:spacing w:line="360" w:lineRule="auto"/>
        <w:rPr>
          <w:rFonts w:hint="eastAsia" w:ascii="宋体" w:hAnsi="宋体"/>
          <w:sz w:val="24"/>
          <w:szCs w:val="24"/>
        </w:rPr>
      </w:pPr>
      <w:r>
        <w:rPr>
          <w:rFonts w:hint="eastAsia" w:ascii="宋体" w:hAnsi="宋体"/>
          <w:sz w:val="24"/>
          <w:szCs w:val="24"/>
        </w:rPr>
        <w:t xml:space="preserve">……</w:t>
      </w:r>
      <w:r/>
    </w:p>
    <w:p>
      <w:pPr>
        <w:pStyle w:val="860"/>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0"/>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39"/>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企业名称：（加盖电子公章）</w:t>
      </w:r>
      <w:r/>
    </w:p>
    <w:p>
      <w:pPr>
        <w:pStyle w:val="860"/>
        <w:ind w:firstLine="6000"/>
        <w:spacing w:line="360" w:lineRule="auto"/>
        <w:widowControl/>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48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w:t>
      </w:r>
      <w:bookmarkStart w:id="177" w:name="OLE_LINK6"/>
      <w:r>
        <w:rPr>
          <w:rFonts w:hint="eastAsia" w:ascii="宋体" w:hAnsi="宋体"/>
          <w:sz w:val="24"/>
          <w:szCs w:val="24"/>
        </w:rPr>
        <w:t xml:space="preserve">（</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w:t>
      </w:r>
      <w:bookmarkEnd w:id="177"/>
      <w:r>
        <w:rPr>
          <w:rFonts w:hint="eastAsia" w:ascii="宋体" w:hAnsi="宋体"/>
          <w:sz w:val="24"/>
          <w:szCs w:val="24"/>
        </w:rPr>
        <w:t xml:space="preserve">，不对其中涉</w:t>
      </w:r>
      <w:r>
        <w:rPr>
          <w:rFonts w:hint="eastAsia" w:ascii="宋体" w:hAnsi="宋体"/>
          <w:sz w:val="24"/>
          <w:szCs w:val="24"/>
        </w:rPr>
        <w:t xml:space="preserve">及的货物的制造商、工程的承建商作出要求。</w:t>
      </w:r>
      <w:r/>
    </w:p>
    <w:p>
      <w:pPr>
        <w:pStyle w:val="873"/>
        <w:ind w:firstLine="480"/>
        <w:rPr>
          <w:rFonts w:hint="eastAsia"/>
          <w:sz w:val="24"/>
          <w:szCs w:val="24"/>
        </w:rPr>
      </w:pPr>
      <w:r>
        <w:rPr>
          <w:rFonts w:hint="eastAsia"/>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十、残疾人福利性单位声明函</w:t>
      </w:r>
      <w:r/>
    </w:p>
    <w:p>
      <w:pPr>
        <w:pStyle w:val="860"/>
        <w:ind w:firstLine="5760"/>
        <w:spacing w:line="560" w:lineRule="exact"/>
        <w:rPr>
          <w:rFonts w:hint="eastAsia" w:ascii="宋体" w:hAnsi="宋体"/>
          <w:sz w:val="24"/>
          <w:szCs w:val="24"/>
        </w:rPr>
      </w:pPr>
      <w:r>
        <w:rPr>
          <w:rFonts w:hint="eastAsia" w:ascii="宋体" w:hAnsi="宋体"/>
          <w:sz w:val="24"/>
          <w:szCs w:val="24"/>
        </w:rPr>
        <w:t xml:space="preserve">                                   </w:t>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残疾人福利性单位声明函（服务）</w:t>
      </w:r>
      <w:r/>
    </w:p>
    <w:p>
      <w:pPr>
        <w:pStyle w:val="860"/>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，服务全部由本单位提供。</w:t>
      </w:r>
      <w:r>
        <w:rPr>
          <w:rFonts w:hint="eastAsia" w:ascii="宋体" w:hAnsi="宋体"/>
          <w:sz w:val="24"/>
          <w:szCs w:val="21"/>
        </w:rPr>
      </w:r>
      <w:r/>
    </w:p>
    <w:p>
      <w:pPr>
        <w:pStyle w:val="860"/>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39"/>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企业名称：（加盖电子公章）</w:t>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588"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1.供应商如不提供此声明函，价格将不做相应扣除。</w:t>
      </w:r>
      <w:r/>
    </w:p>
    <w:p>
      <w:pPr>
        <w:pStyle w:val="860"/>
        <w:ind w:firstLine="480"/>
        <w:spacing w:line="480" w:lineRule="exact"/>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ind w:firstLine="0"/>
        <w:jc w:val="center"/>
        <w:rPr>
          <w:rFonts w:hint="eastAsia"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0"/>
        <w:rPr>
          <w:rFonts w:hint="eastAsia" w:ascii="宋体" w:hAnsi="宋体"/>
          <w:sz w:val="24"/>
          <w:szCs w:val="24"/>
        </w:rPr>
      </w:pPr>
      <w:r>
        <w:rPr>
          <w:rFonts w:hint="eastAsia" w:ascii="宋体" w:hAnsi="宋体"/>
          <w:sz w:val="24"/>
          <w:szCs w:val="24"/>
        </w:rPr>
      </w:r>
      <w:r/>
    </w:p>
    <w:p>
      <w:pPr>
        <w:pStyle w:val="860"/>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1.供</w:t>
      </w:r>
      <w:r>
        <w:rPr>
          <w:rFonts w:hint="eastAsia" w:ascii="宋体" w:hAnsi="宋体" w:cs="仿宋"/>
          <w:sz w:val="24"/>
          <w:szCs w:val="24"/>
        </w:rPr>
        <w:t xml:space="preserve">应商提出质疑，应提交《质疑函》和必要的证明材料。</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Fonts w:ascii="宋体" w:hAnsi="宋体"/>
      </w:rPr>
      <w:framePr w:wrap="around" w:vAnchor="text" w:hAnchor="margin" w:xAlign="center" w:y="1"/>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２８</w:t>
    </w:r>
    <w:r>
      <w:rPr>
        <w:rFonts w:ascii="宋体" w:hAnsi="宋体"/>
      </w:rPr>
      <w:fldChar w:fldCharType="end"/>
    </w:r>
    <w:r>
      <w:rPr>
        <w:rStyle w:val="934"/>
        <w:rFonts w:ascii="宋体" w:hAnsi="宋体"/>
      </w:rPr>
    </w:r>
    <w:r/>
  </w:p>
  <w:p>
    <w:pPr>
      <w:pStyle w:val="91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rPr>
        <w:rStyle w:val="934"/>
      </w:rPr>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2"/>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0"/>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73"/>
    <w:link w:val="860"/>
    <w:qFormat/>
    <w:pPr>
      <w:jc w:val="both"/>
      <w:widowControl w:val="off"/>
    </w:pPr>
    <w:rPr>
      <w:sz w:val="21"/>
      <w:szCs w:val="22"/>
      <w:lang w:val="en-US" w:eastAsia="zh-CN" w:bidi="ar-SA"/>
    </w:rPr>
  </w:style>
  <w:style w:type="paragraph" w:styleId="861">
    <w:name w:val="标题 1"/>
    <w:basedOn w:val="860"/>
    <w:next w:val="860"/>
    <w:link w:val="878"/>
    <w:qFormat/>
    <w:pPr>
      <w:jc w:val="center"/>
      <w:keepNext/>
      <w:outlineLvl w:val="0"/>
    </w:pPr>
    <w:rPr>
      <w:rFonts w:ascii="楷体_GB2312" w:hAnsi="Times New Roman" w:eastAsia="楷体_GB2312" w:cs="Times New Roman"/>
      <w:sz w:val="28"/>
      <w:szCs w:val="28"/>
    </w:rPr>
  </w:style>
  <w:style w:type="paragraph" w:styleId="862">
    <w:name w:val="标题 2"/>
    <w:basedOn w:val="860"/>
    <w:next w:val="860"/>
    <w:link w:val="879"/>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81"/>
    <w:link w:val="88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4">
    <w:name w:val="标题 4"/>
    <w:basedOn w:val="860"/>
    <w:next w:val="881"/>
    <w:link w:val="883"/>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81"/>
    <w:link w:val="884"/>
    <w:qFormat/>
    <w:pPr>
      <w:keepNext/>
      <w:outlineLvl w:val="4"/>
    </w:pPr>
    <w:rPr>
      <w:rFonts w:ascii="宋体" w:hAnsi="Times New Roman" w:eastAsia="宋体" w:cs="Times New Roman"/>
      <w:color w:val="000000"/>
      <w:sz w:val="28"/>
      <w:szCs w:val="28"/>
    </w:rPr>
  </w:style>
  <w:style w:type="paragraph" w:styleId="866">
    <w:name w:val="标题 6"/>
    <w:basedOn w:val="860"/>
    <w:next w:val="860"/>
    <w:link w:val="88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7">
    <w:name w:val="标题 7"/>
    <w:basedOn w:val="860"/>
    <w:next w:val="860"/>
    <w:link w:val="88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8">
    <w:name w:val="标题 8"/>
    <w:basedOn w:val="860"/>
    <w:next w:val="860"/>
    <w:link w:val="88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9">
    <w:name w:val="标题 9"/>
    <w:basedOn w:val="860"/>
    <w:next w:val="860"/>
    <w:link w:val="888"/>
    <w:qFormat/>
    <w:pPr>
      <w:numPr>
        <w:ilvl w:val="8"/>
        <w:numId w:val="1"/>
      </w:numPr>
      <w:keepLines/>
      <w:keepNext/>
      <w:spacing w:before="240" w:after="64" w:line="320" w:lineRule="auto"/>
      <w:outlineLvl w:val="8"/>
    </w:pPr>
    <w:rPr>
      <w:rFonts w:ascii="Arial" w:hAnsi="Arial" w:eastAsia="黑体" w:cs="Times New Roman"/>
      <w:szCs w:val="21"/>
    </w:rPr>
  </w:style>
  <w:style w:type="character" w:styleId="870">
    <w:name w:val="默认段落字体"/>
    <w:next w:val="870"/>
    <w:link w:val="860"/>
    <w:uiPriority w:val="1"/>
    <w:unhideWhenUsed/>
  </w:style>
  <w:style w:type="table" w:styleId="871">
    <w:name w:val="普通表格"/>
    <w:next w:val="871"/>
    <w:link w:val="860"/>
    <w:uiPriority w:val="99"/>
    <w:unhideWhenUsed/>
    <w:tblPr/>
  </w:style>
  <w:style w:type="numbering" w:styleId="872">
    <w:name w:val="无列表"/>
    <w:next w:val="872"/>
    <w:link w:val="860"/>
    <w:uiPriority w:val="99"/>
    <w:semiHidden/>
    <w:unhideWhenUsed/>
  </w:style>
  <w:style w:type="paragraph" w:styleId="873">
    <w:name w:val="正文文本首行缩进 2"/>
    <w:basedOn w:val="874"/>
    <w:next w:val="860"/>
    <w:link w:val="877"/>
    <w:pPr>
      <w:ind w:left="0" w:firstLine="420"/>
      <w:spacing w:after="0" w:line="360" w:lineRule="auto"/>
    </w:pPr>
    <w:rPr>
      <w:rFonts w:ascii="宋体" w:hAnsi="宋体" w:eastAsia="宋体" w:cs="Times New Roman"/>
      <w:szCs w:val="20"/>
    </w:rPr>
  </w:style>
  <w:style w:type="paragraph" w:styleId="874">
    <w:name w:val="正文文本缩进"/>
    <w:basedOn w:val="860"/>
    <w:next w:val="876"/>
    <w:link w:val="875"/>
    <w:unhideWhenUsed/>
    <w:pPr>
      <w:ind w:left="420"/>
      <w:spacing w:after="120"/>
    </w:pPr>
  </w:style>
  <w:style w:type="character" w:styleId="875">
    <w:name w:val="正文文本缩进 字符"/>
    <w:next w:val="875"/>
    <w:link w:val="874"/>
    <w:uiPriority w:val="99"/>
    <w:semiHidden/>
  </w:style>
  <w:style w:type="paragraph" w:styleId="876">
    <w:name w:val="寄信人地址"/>
    <w:basedOn w:val="860"/>
    <w:next w:val="876"/>
    <w:link w:val="860"/>
    <w:qFormat/>
    <w:rPr>
      <w:rFonts w:ascii="Arial" w:hAnsi="Arial" w:eastAsia="宋体" w:cs="宋体"/>
    </w:rPr>
  </w:style>
  <w:style w:type="character" w:styleId="877">
    <w:name w:val="正文文本首行缩进 2 字符"/>
    <w:next w:val="877"/>
    <w:link w:val="873"/>
    <w:rPr>
      <w:rFonts w:ascii="宋体" w:hAnsi="宋体" w:eastAsia="宋体" w:cs="Times New Roman"/>
      <w:szCs w:val="20"/>
    </w:rPr>
  </w:style>
  <w:style w:type="character" w:styleId="878">
    <w:name w:val="标题 1 字符"/>
    <w:next w:val="878"/>
    <w:link w:val="861"/>
    <w:rPr>
      <w:rFonts w:ascii="楷体_GB2312" w:hAnsi="Times New Roman" w:eastAsia="楷体_GB2312" w:cs="Times New Roman"/>
      <w:sz w:val="28"/>
      <w:szCs w:val="28"/>
    </w:rPr>
  </w:style>
  <w:style w:type="character" w:styleId="879">
    <w:name w:val="标题 2 字符"/>
    <w:next w:val="879"/>
    <w:link w:val="862"/>
    <w:rPr>
      <w:rFonts w:ascii="Arial" w:hAnsi="Arial" w:eastAsia="幼圆" w:cs="Arial"/>
      <w:b/>
      <w:bCs/>
      <w:sz w:val="44"/>
      <w:szCs w:val="44"/>
    </w:rPr>
  </w:style>
  <w:style w:type="character" w:styleId="880">
    <w:name w:val="标题 3 字符"/>
    <w:next w:val="880"/>
    <w:link w:val="863"/>
    <w:rPr>
      <w:rFonts w:ascii="Times New Roman" w:hAnsi="Times New Roman" w:eastAsia="宋体" w:cs="Times New Roman"/>
      <w:b/>
      <w:bCs/>
      <w:sz w:val="32"/>
      <w:szCs w:val="32"/>
    </w:rPr>
  </w:style>
  <w:style w:type="paragraph" w:styleId="881">
    <w:name w:val="正文缩进"/>
    <w:basedOn w:val="860"/>
    <w:next w:val="881"/>
    <w:link w:val="882"/>
    <w:pPr>
      <w:ind w:firstLine="420"/>
    </w:pPr>
    <w:rPr>
      <w:szCs w:val="21"/>
    </w:rPr>
  </w:style>
  <w:style w:type="character" w:styleId="882">
    <w:name w:val="正文缩进 字符"/>
    <w:next w:val="882"/>
    <w:link w:val="881"/>
    <w:rPr>
      <w:szCs w:val="21"/>
    </w:rPr>
  </w:style>
  <w:style w:type="character" w:styleId="883">
    <w:name w:val="标题 4 字符"/>
    <w:next w:val="883"/>
    <w:link w:val="864"/>
    <w:rPr>
      <w:rFonts w:ascii="Arial" w:hAnsi="Arial" w:eastAsia="黑体" w:cs="Arial"/>
      <w:b/>
      <w:bCs/>
      <w:sz w:val="28"/>
      <w:szCs w:val="28"/>
    </w:rPr>
  </w:style>
  <w:style w:type="character" w:styleId="884">
    <w:name w:val="标题 5 字符"/>
    <w:next w:val="884"/>
    <w:link w:val="865"/>
    <w:rPr>
      <w:rFonts w:ascii="宋体" w:hAnsi="Times New Roman" w:eastAsia="宋体" w:cs="Times New Roman"/>
      <w:color w:val="000000"/>
      <w:sz w:val="28"/>
      <w:szCs w:val="28"/>
    </w:rPr>
  </w:style>
  <w:style w:type="character" w:styleId="885">
    <w:name w:val="标题 6 字符"/>
    <w:next w:val="885"/>
    <w:link w:val="866"/>
    <w:rPr>
      <w:rFonts w:ascii="Arial" w:hAnsi="Arial" w:eastAsia="黑体" w:cs="Times New Roman"/>
      <w:b/>
      <w:bCs/>
      <w:sz w:val="24"/>
      <w:szCs w:val="24"/>
    </w:rPr>
  </w:style>
  <w:style w:type="character" w:styleId="886">
    <w:name w:val="标题 7 字符"/>
    <w:next w:val="886"/>
    <w:link w:val="867"/>
    <w:rPr>
      <w:rFonts w:ascii="Times New Roman" w:hAnsi="Times New Roman" w:eastAsia="宋体" w:cs="Times New Roman"/>
      <w:b/>
      <w:bCs/>
      <w:sz w:val="24"/>
      <w:szCs w:val="24"/>
    </w:rPr>
  </w:style>
  <w:style w:type="character" w:styleId="887">
    <w:name w:val="标题 8 字符"/>
    <w:next w:val="887"/>
    <w:link w:val="868"/>
    <w:rPr>
      <w:rFonts w:ascii="Arial" w:hAnsi="Arial" w:eastAsia="黑体" w:cs="Times New Roman"/>
      <w:sz w:val="24"/>
      <w:szCs w:val="24"/>
    </w:rPr>
  </w:style>
  <w:style w:type="character" w:styleId="888">
    <w:name w:val="标题 9 字符"/>
    <w:next w:val="888"/>
    <w:link w:val="869"/>
    <w:rPr>
      <w:rFonts w:ascii="Arial" w:hAnsi="Arial" w:eastAsia="黑体" w:cs="Times New Roman"/>
      <w:szCs w:val="21"/>
    </w:rPr>
  </w:style>
  <w:style w:type="paragraph" w:styleId="889">
    <w:name w:val="列表 3"/>
    <w:basedOn w:val="860"/>
    <w:next w:val="889"/>
    <w:link w:val="860"/>
    <w:pPr>
      <w:ind w:left="100" w:hanging="200"/>
    </w:pPr>
    <w:rPr>
      <w:rFonts w:ascii="Times New Roman" w:hAnsi="Times New Roman" w:eastAsia="宋体" w:cs="Times New Roman"/>
      <w:szCs w:val="21"/>
    </w:rPr>
  </w:style>
  <w:style w:type="paragraph" w:styleId="890">
    <w:name w:val="toc 7"/>
    <w:basedOn w:val="860"/>
    <w:next w:val="860"/>
    <w:link w:val="860"/>
    <w:semiHidden/>
    <w:pPr>
      <w:ind w:left="1260"/>
      <w:jc w:val="left"/>
    </w:pPr>
    <w:rPr>
      <w:rFonts w:ascii="Times New Roman" w:hAnsi="Times New Roman" w:eastAsia="宋体" w:cs="Times New Roman"/>
      <w:szCs w:val="21"/>
    </w:rPr>
  </w:style>
  <w:style w:type="paragraph" w:styleId="891">
    <w:name w:val="文档结构图"/>
    <w:basedOn w:val="860"/>
    <w:next w:val="891"/>
    <w:link w:val="892"/>
    <w:semiHidden/>
    <w:pPr>
      <w:shd w:val="clear" w:color="auto" w:fill="000080"/>
    </w:pPr>
    <w:rPr>
      <w:rFonts w:ascii="Times New Roman" w:hAnsi="Times New Roman" w:eastAsia="宋体" w:cs="Times New Roman"/>
      <w:szCs w:val="21"/>
    </w:rPr>
  </w:style>
  <w:style w:type="character" w:styleId="892">
    <w:name w:val="文档结构图 字符"/>
    <w:next w:val="892"/>
    <w:link w:val="891"/>
    <w:semiHidden/>
    <w:rPr>
      <w:rFonts w:ascii="Times New Roman" w:hAnsi="Times New Roman" w:eastAsia="宋体" w:cs="Times New Roman"/>
      <w:szCs w:val="21"/>
      <w:shd w:val="clear" w:color="auto" w:fill="000080"/>
    </w:rPr>
  </w:style>
  <w:style w:type="paragraph" w:styleId="893">
    <w:name w:val="批注文字"/>
    <w:basedOn w:val="860"/>
    <w:next w:val="893"/>
    <w:link w:val="894"/>
    <w:unhideWhenUsed/>
    <w:pPr>
      <w:jc w:val="left"/>
    </w:pPr>
  </w:style>
  <w:style w:type="character" w:styleId="894">
    <w:name w:val="批注文字 字符"/>
    <w:next w:val="894"/>
    <w:link w:val="893"/>
    <w:uiPriority w:val="99"/>
    <w:semiHidden/>
  </w:style>
  <w:style w:type="paragraph" w:styleId="895">
    <w:name w:val="正文文本 3"/>
    <w:basedOn w:val="860"/>
    <w:next w:val="895"/>
    <w:link w:val="896"/>
    <w:rPr>
      <w:rFonts w:ascii="仿宋_GB2312" w:hAnsi="Arial" w:eastAsia="仿宋_GB2312" w:cs="Times New Roman"/>
      <w:sz w:val="32"/>
      <w:szCs w:val="32"/>
    </w:rPr>
  </w:style>
  <w:style w:type="character" w:styleId="896">
    <w:name w:val="正文文本 3 字符"/>
    <w:next w:val="896"/>
    <w:link w:val="895"/>
    <w:rPr>
      <w:rFonts w:ascii="仿宋_GB2312" w:hAnsi="Arial" w:eastAsia="仿宋_GB2312" w:cs="Times New Roman"/>
      <w:sz w:val="32"/>
      <w:szCs w:val="32"/>
    </w:rPr>
  </w:style>
  <w:style w:type="paragraph" w:styleId="897">
    <w:name w:val="正文文本"/>
    <w:basedOn w:val="860"/>
    <w:next w:val="897"/>
    <w:link w:val="898"/>
    <w:rPr>
      <w:rFonts w:ascii="楷体_GB2312" w:hAnsi="Arial" w:eastAsia="楷体_GB2312" w:cs="Times New Roman"/>
      <w:sz w:val="28"/>
      <w:szCs w:val="28"/>
    </w:rPr>
  </w:style>
  <w:style w:type="character" w:styleId="898">
    <w:name w:val="正文文本 字符"/>
    <w:next w:val="898"/>
    <w:link w:val="897"/>
    <w:rPr>
      <w:rFonts w:ascii="楷体_GB2312" w:hAnsi="Arial" w:eastAsia="楷体_GB2312" w:cs="Times New Roman"/>
      <w:sz w:val="28"/>
      <w:szCs w:val="28"/>
    </w:rPr>
  </w:style>
  <w:style w:type="paragraph" w:styleId="899">
    <w:name w:val="列表 2"/>
    <w:basedOn w:val="860"/>
    <w:next w:val="899"/>
    <w:link w:val="860"/>
    <w:pPr>
      <w:ind w:left="100" w:hanging="200"/>
    </w:pPr>
    <w:rPr>
      <w:rFonts w:ascii="Times New Roman" w:hAnsi="Times New Roman" w:eastAsia="宋体" w:cs="Times New Roman"/>
      <w:szCs w:val="21"/>
    </w:rPr>
  </w:style>
  <w:style w:type="paragraph" w:styleId="900">
    <w:name w:val="toc 5"/>
    <w:basedOn w:val="860"/>
    <w:next w:val="860"/>
    <w:link w:val="860"/>
    <w:semiHidden/>
    <w:pPr>
      <w:ind w:left="840"/>
      <w:jc w:val="left"/>
    </w:pPr>
    <w:rPr>
      <w:rFonts w:ascii="Times New Roman" w:hAnsi="Times New Roman" w:eastAsia="宋体" w:cs="Times New Roman"/>
      <w:szCs w:val="21"/>
    </w:rPr>
  </w:style>
  <w:style w:type="paragraph" w:styleId="901">
    <w:name w:val="toc 3"/>
    <w:basedOn w:val="860"/>
    <w:next w:val="860"/>
    <w:link w:val="860"/>
    <w:semiHidden/>
    <w:pPr>
      <w:ind w:left="420"/>
      <w:jc w:val="left"/>
    </w:pPr>
    <w:rPr>
      <w:rFonts w:ascii="Times New Roman" w:hAnsi="Times New Roman" w:eastAsia="宋体" w:cs="Times New Roman"/>
      <w:i/>
      <w:iCs/>
      <w:szCs w:val="24"/>
    </w:rPr>
  </w:style>
  <w:style w:type="paragraph" w:styleId="902">
    <w:name w:val="纯文本"/>
    <w:basedOn w:val="860"/>
    <w:next w:val="902"/>
    <w:link w:val="903"/>
    <w:rPr>
      <w:rFonts w:ascii="宋体" w:hAnsi="Courier New" w:eastAsia="宋体" w:cs="Courier New"/>
      <w:szCs w:val="21"/>
    </w:rPr>
  </w:style>
  <w:style w:type="character" w:styleId="903">
    <w:name w:val="纯文本 字符"/>
    <w:next w:val="903"/>
    <w:link w:val="902"/>
    <w:rPr>
      <w:rFonts w:ascii="宋体" w:hAnsi="Courier New" w:eastAsia="宋体" w:cs="Courier New"/>
      <w:szCs w:val="21"/>
    </w:rPr>
  </w:style>
  <w:style w:type="paragraph" w:styleId="904">
    <w:name w:val="toc 8"/>
    <w:basedOn w:val="860"/>
    <w:next w:val="860"/>
    <w:link w:val="860"/>
    <w:semiHidden/>
    <w:pPr>
      <w:ind w:left="1470"/>
      <w:jc w:val="left"/>
    </w:pPr>
    <w:rPr>
      <w:rFonts w:ascii="Times New Roman" w:hAnsi="Times New Roman" w:eastAsia="宋体" w:cs="Times New Roman"/>
      <w:szCs w:val="21"/>
    </w:rPr>
  </w:style>
  <w:style w:type="paragraph" w:styleId="905">
    <w:name w:val="日期"/>
    <w:basedOn w:val="860"/>
    <w:next w:val="860"/>
    <w:link w:val="906"/>
    <w:rPr>
      <w:rFonts w:ascii="Times New Roman" w:hAnsi="Times New Roman" w:eastAsia="宋体" w:cs="Times New Roman"/>
      <w:sz w:val="24"/>
      <w:szCs w:val="24"/>
    </w:rPr>
  </w:style>
  <w:style w:type="character" w:styleId="906">
    <w:name w:val="日期 字符"/>
    <w:next w:val="906"/>
    <w:link w:val="905"/>
    <w:rPr>
      <w:rFonts w:ascii="Times New Roman" w:hAnsi="Times New Roman" w:eastAsia="宋体" w:cs="Times New Roman"/>
      <w:sz w:val="24"/>
      <w:szCs w:val="24"/>
    </w:rPr>
  </w:style>
  <w:style w:type="paragraph" w:styleId="907">
    <w:name w:val="正文文本缩进 2"/>
    <w:basedOn w:val="860"/>
    <w:next w:val="907"/>
    <w:link w:val="908"/>
    <w:pPr>
      <w:ind w:left="630" w:firstLine="645"/>
    </w:pPr>
    <w:rPr>
      <w:rFonts w:ascii="Arial" w:hAnsi="Arial" w:eastAsia="仿宋_GB2312" w:cs="Arial"/>
      <w:sz w:val="32"/>
      <w:szCs w:val="32"/>
    </w:rPr>
  </w:style>
  <w:style w:type="character" w:styleId="908">
    <w:name w:val="正文文本缩进 2 字符"/>
    <w:next w:val="908"/>
    <w:link w:val="907"/>
    <w:rPr>
      <w:rFonts w:ascii="Arial" w:hAnsi="Arial" w:eastAsia="仿宋_GB2312" w:cs="Arial"/>
      <w:sz w:val="32"/>
      <w:szCs w:val="32"/>
    </w:rPr>
  </w:style>
  <w:style w:type="paragraph" w:styleId="909">
    <w:name w:val="批注框文本"/>
    <w:basedOn w:val="860"/>
    <w:next w:val="909"/>
    <w:link w:val="910"/>
    <w:semiHidden/>
    <w:rPr>
      <w:rFonts w:ascii="Times New Roman" w:hAnsi="Times New Roman" w:eastAsia="宋体" w:cs="Times New Roman"/>
      <w:sz w:val="18"/>
      <w:szCs w:val="18"/>
    </w:rPr>
  </w:style>
  <w:style w:type="character" w:styleId="910">
    <w:name w:val="批注框文本 字符"/>
    <w:next w:val="910"/>
    <w:link w:val="909"/>
    <w:semiHidden/>
    <w:rPr>
      <w:rFonts w:ascii="Times New Roman" w:hAnsi="Times New Roman" w:eastAsia="宋体" w:cs="Times New Roman"/>
      <w:sz w:val="18"/>
      <w:szCs w:val="18"/>
    </w:rPr>
  </w:style>
  <w:style w:type="paragraph" w:styleId="911">
    <w:name w:val="页脚"/>
    <w:basedOn w:val="860"/>
    <w:next w:val="911"/>
    <w:link w:val="912"/>
    <w:pPr>
      <w:jc w:val="left"/>
      <w:tabs>
        <w:tab w:val="center" w:pos="4153" w:leader="none"/>
        <w:tab w:val="right" w:pos="8306" w:leader="none"/>
      </w:tabs>
    </w:pPr>
    <w:rPr>
      <w:rFonts w:ascii="Times New Roman" w:hAnsi="Times New Roman" w:eastAsia="宋体" w:cs="Times New Roman"/>
      <w:sz w:val="18"/>
      <w:szCs w:val="18"/>
    </w:rPr>
  </w:style>
  <w:style w:type="character" w:styleId="912">
    <w:name w:val="页脚 字符"/>
    <w:next w:val="912"/>
    <w:link w:val="911"/>
    <w:rPr>
      <w:rFonts w:ascii="Times New Roman" w:hAnsi="Times New Roman" w:eastAsia="宋体" w:cs="Times New Roman"/>
      <w:sz w:val="18"/>
      <w:szCs w:val="18"/>
    </w:rPr>
  </w:style>
  <w:style w:type="paragraph" w:styleId="913">
    <w:name w:val="页眉"/>
    <w:basedOn w:val="860"/>
    <w:next w:val="913"/>
    <w:link w:val="91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4">
    <w:name w:val="页眉 字符"/>
    <w:next w:val="914"/>
    <w:link w:val="913"/>
    <w:rPr>
      <w:rFonts w:ascii="Times New Roman" w:hAnsi="Times New Roman" w:eastAsia="宋体" w:cs="Times New Roman"/>
      <w:sz w:val="18"/>
      <w:szCs w:val="18"/>
    </w:rPr>
  </w:style>
  <w:style w:type="paragraph" w:styleId="915">
    <w:name w:val="toc 1"/>
    <w:basedOn w:val="860"/>
    <w:next w:val="860"/>
    <w:link w:val="8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6">
    <w:name w:val="toc 4"/>
    <w:basedOn w:val="860"/>
    <w:next w:val="860"/>
    <w:link w:val="860"/>
    <w:semiHidden/>
    <w:pPr>
      <w:ind w:left="630"/>
      <w:jc w:val="left"/>
    </w:pPr>
    <w:rPr>
      <w:rFonts w:ascii="Times New Roman" w:hAnsi="Times New Roman" w:eastAsia="宋体" w:cs="Times New Roman"/>
      <w:szCs w:val="21"/>
    </w:rPr>
  </w:style>
  <w:style w:type="paragraph" w:styleId="917">
    <w:name w:val="列表"/>
    <w:basedOn w:val="860"/>
    <w:next w:val="917"/>
    <w:link w:val="860"/>
    <w:pPr>
      <w:ind w:left="200" w:hanging="200"/>
    </w:pPr>
    <w:rPr>
      <w:rFonts w:ascii="Times New Roman" w:hAnsi="Times New Roman" w:eastAsia="宋体" w:cs="Times New Roman"/>
      <w:szCs w:val="21"/>
    </w:rPr>
  </w:style>
  <w:style w:type="paragraph" w:styleId="918">
    <w:name w:val="toc 6"/>
    <w:basedOn w:val="860"/>
    <w:next w:val="860"/>
    <w:link w:val="860"/>
    <w:semiHidden/>
    <w:pPr>
      <w:ind w:left="1050"/>
      <w:jc w:val="left"/>
    </w:pPr>
    <w:rPr>
      <w:rFonts w:ascii="Times New Roman" w:hAnsi="Times New Roman" w:eastAsia="宋体" w:cs="Times New Roman"/>
      <w:szCs w:val="21"/>
    </w:rPr>
  </w:style>
  <w:style w:type="paragraph" w:styleId="919">
    <w:name w:val="正文文本缩进 3"/>
    <w:basedOn w:val="860"/>
    <w:next w:val="919"/>
    <w:link w:val="920"/>
    <w:pPr>
      <w:ind w:left="645" w:firstLine="645"/>
    </w:pPr>
    <w:rPr>
      <w:rFonts w:ascii="Arial" w:hAnsi="Arial" w:eastAsia="仿宋_GB2312" w:cs="Arial"/>
      <w:color w:val="ffff00"/>
      <w:sz w:val="32"/>
      <w:szCs w:val="32"/>
    </w:rPr>
  </w:style>
  <w:style w:type="character" w:styleId="920">
    <w:name w:val="正文文本缩进 3 字符"/>
    <w:next w:val="920"/>
    <w:link w:val="919"/>
    <w:rPr>
      <w:rFonts w:ascii="Arial" w:hAnsi="Arial" w:eastAsia="仿宋_GB2312" w:cs="Arial"/>
      <w:color w:val="ffff00"/>
      <w:sz w:val="32"/>
      <w:szCs w:val="32"/>
    </w:rPr>
  </w:style>
  <w:style w:type="paragraph" w:styleId="921">
    <w:name w:val="图表目录"/>
    <w:basedOn w:val="860"/>
    <w:next w:val="860"/>
    <w:link w:val="860"/>
    <w:semiHidden/>
    <w:pPr>
      <w:ind w:left="840" w:hanging="420"/>
    </w:pPr>
    <w:rPr>
      <w:rFonts w:ascii="Times New Roman" w:hAnsi="Times New Roman" w:eastAsia="宋体" w:cs="Times New Roman"/>
      <w:szCs w:val="21"/>
    </w:rPr>
  </w:style>
  <w:style w:type="paragraph" w:styleId="922">
    <w:name w:val="toc 2"/>
    <w:basedOn w:val="860"/>
    <w:next w:val="860"/>
    <w:link w:val="860"/>
    <w:semiHidden/>
    <w:pPr>
      <w:ind w:left="210"/>
      <w:jc w:val="left"/>
    </w:pPr>
    <w:rPr>
      <w:rFonts w:ascii="Times New Roman" w:hAnsi="Times New Roman" w:eastAsia="宋体" w:cs="Times New Roman"/>
      <w:smallCaps/>
      <w:szCs w:val="24"/>
    </w:rPr>
  </w:style>
  <w:style w:type="paragraph" w:styleId="923">
    <w:name w:val="toc 9"/>
    <w:basedOn w:val="860"/>
    <w:next w:val="860"/>
    <w:link w:val="860"/>
    <w:semiHidden/>
    <w:pPr>
      <w:ind w:left="1680"/>
      <w:jc w:val="left"/>
    </w:pPr>
    <w:rPr>
      <w:rFonts w:ascii="Times New Roman" w:hAnsi="Times New Roman" w:eastAsia="宋体" w:cs="Times New Roman"/>
      <w:szCs w:val="21"/>
    </w:rPr>
  </w:style>
  <w:style w:type="paragraph" w:styleId="924">
    <w:name w:val="正文文本 2"/>
    <w:basedOn w:val="860"/>
    <w:next w:val="924"/>
    <w:link w:val="925"/>
    <w:pPr>
      <w:jc w:val="center"/>
      <w:widowControl/>
    </w:pPr>
    <w:rPr>
      <w:rFonts w:ascii="楷体_GB2312" w:hAnsi="Times New Roman" w:eastAsia="楷体_GB2312" w:cs="Times New Roman"/>
      <w:sz w:val="28"/>
      <w:szCs w:val="28"/>
    </w:rPr>
  </w:style>
  <w:style w:type="character" w:styleId="925">
    <w:name w:val="正文文本 2 字符"/>
    <w:next w:val="925"/>
    <w:link w:val="924"/>
    <w:rPr>
      <w:rFonts w:ascii="楷体_GB2312" w:hAnsi="Times New Roman" w:eastAsia="楷体_GB2312" w:cs="Times New Roman"/>
      <w:sz w:val="28"/>
      <w:szCs w:val="28"/>
    </w:rPr>
  </w:style>
  <w:style w:type="paragraph" w:styleId="926">
    <w:name w:val="普通(网站)"/>
    <w:basedOn w:val="860"/>
    <w:next w:val="926"/>
    <w:link w:val="860"/>
    <w:uiPriority w:val="99"/>
    <w:pPr>
      <w:jc w:val="left"/>
      <w:spacing w:before="100" w:beforeAutospacing="1" w:after="100" w:afterAutospacing="1"/>
      <w:widowControl/>
    </w:pPr>
    <w:rPr>
      <w:rFonts w:ascii="宋体" w:hAnsi="宋体" w:eastAsia="宋体" w:cs="宋体"/>
      <w:sz w:val="24"/>
      <w:szCs w:val="24"/>
    </w:rPr>
  </w:style>
  <w:style w:type="paragraph" w:styleId="927">
    <w:name w:val="索引 1"/>
    <w:basedOn w:val="860"/>
    <w:next w:val="860"/>
    <w:link w:val="860"/>
    <w:semiHidden/>
    <w:pPr>
      <w:spacing w:line="240" w:lineRule="atLeast"/>
    </w:pPr>
    <w:rPr>
      <w:rFonts w:ascii="Times New Roman" w:hAnsi="Times New Roman" w:eastAsia="宋体" w:cs="Times New Roman"/>
      <w:b/>
      <w:bCs/>
      <w:szCs w:val="21"/>
    </w:rPr>
  </w:style>
  <w:style w:type="paragraph" w:styleId="928">
    <w:name w:val="批注主题"/>
    <w:basedOn w:val="893"/>
    <w:next w:val="893"/>
    <w:link w:val="929"/>
    <w:semiHidden/>
    <w:rPr>
      <w:rFonts w:ascii="Times New Roman" w:hAnsi="Times New Roman" w:eastAsia="宋体" w:cs="Times New Roman"/>
      <w:b/>
      <w:bCs/>
      <w:szCs w:val="21"/>
    </w:rPr>
  </w:style>
  <w:style w:type="character" w:styleId="929">
    <w:name w:val="批注主题 字符"/>
    <w:next w:val="929"/>
    <w:link w:val="928"/>
    <w:semiHidden/>
    <w:rPr>
      <w:rFonts w:ascii="Times New Roman" w:hAnsi="Times New Roman" w:eastAsia="宋体" w:cs="Times New Roman"/>
      <w:b/>
      <w:bCs/>
      <w:szCs w:val="21"/>
    </w:rPr>
  </w:style>
  <w:style w:type="paragraph" w:styleId="930">
    <w:name w:val="正文文本首行缩进"/>
    <w:basedOn w:val="860"/>
    <w:next w:val="930"/>
    <w:link w:val="931"/>
    <w:pPr>
      <w:ind w:firstLine="200"/>
      <w:spacing w:line="360" w:lineRule="auto"/>
    </w:pPr>
    <w:rPr>
      <w:rFonts w:ascii="仿宋_GB2312" w:hAnsi="Times New Roman" w:eastAsia="仿宋_GB2312" w:cs="Times New Roman"/>
      <w:sz w:val="30"/>
      <w:szCs w:val="30"/>
    </w:rPr>
  </w:style>
  <w:style w:type="character" w:styleId="931">
    <w:name w:val="正文文本首行缩进 字符"/>
    <w:next w:val="931"/>
    <w:link w:val="930"/>
    <w:rPr>
      <w:rFonts w:ascii="仿宋_GB2312" w:hAnsi="Times New Roman" w:eastAsia="仿宋_GB2312" w:cs="Times New Roman"/>
      <w:sz w:val="30"/>
      <w:szCs w:val="30"/>
    </w:rPr>
  </w:style>
  <w:style w:type="table" w:styleId="932">
    <w:name w:val="网格型"/>
    <w:basedOn w:val="871"/>
    <w:next w:val="932"/>
    <w:link w:val="860"/>
    <w:pPr>
      <w:jc w:val="both"/>
      <w:widowControl w:val="off"/>
    </w:pPr>
    <w:rPr>
      <w:rFonts w:ascii="Times New Roman" w:hAnsi="Times New Roman" w:eastAsia="宋体" w:cs="Times New Roman"/>
      <w:sz w:val="20"/>
      <w:szCs w:val="20"/>
    </w:rPr>
    <w:tblPr/>
  </w:style>
  <w:style w:type="character" w:styleId="933">
    <w:name w:val="要点"/>
    <w:next w:val="933"/>
    <w:link w:val="860"/>
    <w:qFormat/>
    <w:rPr>
      <w:b/>
      <w:bCs/>
    </w:rPr>
  </w:style>
  <w:style w:type="character" w:styleId="934">
    <w:name w:val="页码"/>
    <w:next w:val="934"/>
    <w:link w:val="860"/>
  </w:style>
  <w:style w:type="character" w:styleId="935">
    <w:name w:val="访问过的超链接"/>
    <w:next w:val="935"/>
    <w:link w:val="860"/>
    <w:rPr>
      <w:color w:val="800080"/>
      <w:u w:val="single"/>
    </w:rPr>
  </w:style>
  <w:style w:type="character" w:styleId="936">
    <w:name w:val="强调"/>
    <w:next w:val="936"/>
    <w:link w:val="860"/>
    <w:qFormat/>
    <w:rPr>
      <w:i/>
    </w:rPr>
  </w:style>
  <w:style w:type="character" w:styleId="937">
    <w:name w:val="超链接"/>
    <w:next w:val="937"/>
    <w:link w:val="860"/>
    <w:rPr>
      <w:color w:val="0000ff"/>
      <w:u w:val="single"/>
    </w:rPr>
  </w:style>
  <w:style w:type="character" w:styleId="938">
    <w:name w:val="批注引用"/>
    <w:next w:val="938"/>
    <w:link w:val="860"/>
    <w:semiHidden/>
    <w:rPr>
      <w:sz w:val="21"/>
      <w:szCs w:val="21"/>
    </w:rPr>
  </w:style>
  <w:style w:type="paragraph" w:styleId="939">
    <w:name w:val="索引 41"/>
    <w:basedOn w:val="860"/>
    <w:next w:val="860"/>
    <w:link w:val="860"/>
    <w:semiHidden/>
    <w:qFormat/>
    <w:pPr>
      <w:ind w:left="1260"/>
    </w:pPr>
    <w:rPr>
      <w:rFonts w:ascii="Calibri" w:hAnsi="Calibri" w:eastAsia="Calibri" w:cs="宋体"/>
      <w:sz w:val="20"/>
      <w:lang w:val="zh-CN"/>
    </w:rPr>
  </w:style>
  <w:style w:type="character" w:styleId="940">
    <w:name w:val="font5 Char"/>
    <w:next w:val="940"/>
    <w:link w:val="860"/>
    <w:rPr>
      <w:rFonts w:ascii="宋体" w:hAnsi="宋体" w:eastAsia="宋体"/>
      <w:sz w:val="28"/>
      <w:szCs w:val="28"/>
      <w:lang w:val="en-US" w:eastAsia="zh-CN" w:bidi="ar-SA"/>
    </w:rPr>
  </w:style>
  <w:style w:type="character" w:styleId="941">
    <w:name w:val="二级目录 Char"/>
    <w:next w:val="941"/>
    <w:link w:val="942"/>
    <w:rPr>
      <w:b/>
      <w:sz w:val="30"/>
      <w:szCs w:val="28"/>
    </w:rPr>
  </w:style>
  <w:style w:type="paragraph" w:styleId="942">
    <w:name w:val="二级目录"/>
    <w:next w:val="860"/>
    <w:link w:val="941"/>
    <w:pPr>
      <w:numPr>
        <w:ilvl w:val="0"/>
        <w:numId w:val="2"/>
      </w:numPr>
      <w:tabs>
        <w:tab w:val="left" w:pos="907" w:leader="none"/>
        <w:tab w:val="left" w:pos="1145" w:leader="none"/>
      </w:tabs>
      <w:outlineLvl w:val="1"/>
    </w:pPr>
    <w:rPr>
      <w:b/>
      <w:sz w:val="30"/>
      <w:szCs w:val="28"/>
      <w:lang w:val="en-US" w:eastAsia="zh-CN" w:bidi="ar-SA"/>
    </w:rPr>
  </w:style>
  <w:style w:type="character" w:styleId="943">
    <w:name w:val="列出段落 Char,Bullet List Char,numbered Char,FooterText Char,List Paragraph1 Char,Paragraphe de liste1 Char"/>
    <w:next w:val="943"/>
    <w:link w:val="944"/>
    <w:rPr>
      <w:rFonts w:ascii="Calibri" w:hAnsi="Calibri"/>
      <w:sz w:val="24"/>
      <w:szCs w:val="24"/>
      <w:lang w:eastAsia="en-US" w:bidi="en-US"/>
    </w:rPr>
  </w:style>
  <w:style w:type="paragraph" w:styleId="944">
    <w:name w:val="列出段落1"/>
    <w:basedOn w:val="860"/>
    <w:next w:val="944"/>
    <w:link w:val="943"/>
    <w:qFormat/>
    <w:pPr>
      <w:contextualSpacing/>
      <w:ind w:left="720"/>
      <w:jc w:val="left"/>
      <w:widowControl/>
    </w:pPr>
    <w:rPr>
      <w:rFonts w:ascii="Calibri" w:hAnsi="Calibri"/>
      <w:sz w:val="24"/>
      <w:szCs w:val="24"/>
      <w:lang w:eastAsia="en-US" w:bidi="en-US"/>
    </w:rPr>
  </w:style>
  <w:style w:type="paragraph" w:styleId="945">
    <w:name w:val="Body Text(ch)"/>
    <w:basedOn w:val="860"/>
    <w:next w:val="897"/>
    <w:link w:val="860"/>
    <w:pPr>
      <w:spacing w:after="120"/>
    </w:pPr>
    <w:rPr>
      <w:rFonts w:ascii="宋体" w:hAnsi="Arial" w:eastAsia="宋体" w:cs="Times New Roman"/>
      <w:bCs/>
      <w:iCs/>
      <w:szCs w:val="24"/>
    </w:rPr>
  </w:style>
  <w:style w:type="paragraph" w:styleId="946">
    <w:name w:val="xl27"/>
    <w:basedOn w:val="860"/>
    <w:next w:val="946"/>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7">
    <w:name w:val="xl26"/>
    <w:basedOn w:val="860"/>
    <w:next w:val="947"/>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8">
    <w:name w:val="Char"/>
    <w:basedOn w:val="860"/>
    <w:next w:val="948"/>
    <w:link w:val="860"/>
    <w:pPr>
      <w:ind w:firstLine="200"/>
      <w:tabs>
        <w:tab w:val="left" w:pos="360" w:leader="none"/>
      </w:tabs>
    </w:pPr>
    <w:rPr>
      <w:rFonts w:ascii="Times New Roman" w:hAnsi="Times New Roman" w:eastAsia="宋体" w:cs="Times New Roman"/>
      <w:sz w:val="28"/>
      <w:szCs w:val="30"/>
    </w:rPr>
  </w:style>
  <w:style w:type="paragraph" w:styleId="949">
    <w:name w:val=" Char"/>
    <w:basedOn w:val="891"/>
    <w:next w:val="949"/>
    <w:link w:val="860"/>
    <w:rPr>
      <w:rFonts w:ascii="Tahoma" w:hAnsi="Tahoma"/>
      <w:sz w:val="24"/>
      <w:szCs w:val="24"/>
    </w:rPr>
  </w:style>
  <w:style w:type="paragraph" w:styleId="950">
    <w:name w:val="普通正文"/>
    <w:basedOn w:val="951"/>
    <w:next w:val="950"/>
    <w:link w:val="860"/>
    <w:pPr>
      <w:ind w:firstLine="480"/>
      <w:jc w:val="left"/>
      <w:spacing w:before="120" w:after="120" w:line="360" w:lineRule="auto"/>
    </w:pPr>
    <w:rPr>
      <w:rFonts w:ascii="Arial" w:hAnsi="Arial" w:eastAsia="宋体" w:cs="Times New Roman"/>
      <w:sz w:val="24"/>
      <w:szCs w:val="24"/>
    </w:rPr>
  </w:style>
  <w:style w:type="paragraph" w:styleId="951">
    <w:name w:val="正文1"/>
    <w:next w:val="951"/>
    <w:link w:val="860"/>
    <w:qFormat/>
    <w:pPr>
      <w:spacing w:after="200" w:line="276" w:lineRule="auto"/>
    </w:pPr>
    <w:rPr>
      <w:sz w:val="22"/>
      <w:szCs w:val="22"/>
      <w:lang w:val="en-US" w:eastAsia="en-US" w:bidi="ar-SA"/>
    </w:rPr>
  </w:style>
  <w:style w:type="paragraph" w:styleId="952">
    <w:name w:val="table_lines"/>
    <w:basedOn w:val="860"/>
    <w:next w:val="952"/>
    <w:link w:val="860"/>
    <w:pPr>
      <w:jc w:val="left"/>
      <w:widowControl/>
    </w:pPr>
    <w:rPr>
      <w:rFonts w:ascii="Times New Roman" w:hAnsi="Times New Roman" w:eastAsia="宋体" w:cs="Times New Roman"/>
      <w:sz w:val="20"/>
      <w:szCs w:val="20"/>
      <w:lang w:val="de-DE" w:eastAsia="de-DE"/>
    </w:rPr>
  </w:style>
  <w:style w:type="paragraph" w:styleId="953">
    <w:name w:val="附录1"/>
    <w:next w:val="953"/>
    <w:link w:val="86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54">
    <w:name w:val="font7"/>
    <w:basedOn w:val="860"/>
    <w:next w:val="954"/>
    <w:link w:val="860"/>
    <w:pPr>
      <w:jc w:val="left"/>
      <w:spacing w:before="100" w:beforeAutospacing="1" w:after="100" w:afterAutospacing="1"/>
      <w:widowControl/>
    </w:pPr>
    <w:rPr>
      <w:rFonts w:hint="eastAsia" w:ascii="宋体" w:hAnsi="宋体" w:eastAsia="宋体" w:cs="Times New Roman"/>
      <w:sz w:val="18"/>
      <w:szCs w:val="18"/>
    </w:rPr>
  </w:style>
  <w:style w:type="paragraph" w:styleId="955">
    <w:name w:val=" Char Char Char Char"/>
    <w:basedOn w:val="891"/>
    <w:next w:val="955"/>
    <w:link w:val="860"/>
    <w:pPr>
      <w:spacing w:line="360" w:lineRule="auto"/>
    </w:pPr>
    <w:rPr>
      <w:rFonts w:ascii="Tahoma" w:hAnsi="Tahoma"/>
      <w:sz w:val="24"/>
      <w:szCs w:val="24"/>
    </w:rPr>
  </w:style>
  <w:style w:type="paragraph" w:styleId="956">
    <w:name w:val="列表段落"/>
    <w:basedOn w:val="860"/>
    <w:next w:val="956"/>
    <w:link w:val="860"/>
    <w:qFormat/>
    <w:pPr>
      <w:contextualSpacing/>
      <w:ind w:left="720"/>
      <w:jc w:val="left"/>
      <w:widowControl/>
    </w:pPr>
    <w:rPr>
      <w:rFonts w:ascii="Calibri" w:hAnsi="Calibri" w:eastAsia="宋体" w:cs="Times New Roman"/>
      <w:sz w:val="24"/>
      <w:szCs w:val="24"/>
      <w:lang w:eastAsia="en-US" w:bidi="en-US"/>
    </w:rPr>
  </w:style>
  <w:style w:type="paragraph" w:styleId="957">
    <w:name w:val="4"/>
    <w:basedOn w:val="860"/>
    <w:next w:val="919"/>
    <w:link w:val="860"/>
    <w:pPr>
      <w:ind w:firstLine="420"/>
      <w:spacing w:line="360" w:lineRule="auto"/>
    </w:pPr>
    <w:rPr>
      <w:rFonts w:ascii="Times New Roman" w:hAnsi="Times New Roman" w:eastAsia="宋体" w:cs="Times New Roman"/>
      <w:color w:val="ff0000"/>
      <w:sz w:val="24"/>
      <w:szCs w:val="24"/>
    </w:rPr>
  </w:style>
  <w:style w:type="paragraph" w:styleId="958">
    <w:name w:val="普通 (Web)"/>
    <w:basedOn w:val="860"/>
    <w:next w:val="958"/>
    <w:link w:val="860"/>
    <w:pPr>
      <w:jc w:val="left"/>
      <w:spacing w:before="100" w:beforeAutospacing="1" w:after="100" w:afterAutospacing="1"/>
      <w:widowControl/>
    </w:pPr>
    <w:rPr>
      <w:rFonts w:ascii="宋体" w:hAnsi="宋体" w:eastAsia="宋体" w:cs="Times New Roman"/>
      <w:sz w:val="24"/>
      <w:szCs w:val="24"/>
    </w:rPr>
  </w:style>
  <w:style w:type="paragraph" w:styleId="959">
    <w:name w:val=" Char Char Char Char Char Char Char Char Char Char"/>
    <w:basedOn w:val="860"/>
    <w:next w:val="959"/>
    <w:link w:val="860"/>
    <w:pPr>
      <w:spacing w:line="360" w:lineRule="auto"/>
    </w:pPr>
    <w:rPr>
      <w:rFonts w:ascii="Times New Roman" w:hAnsi="Times New Roman" w:eastAsia="宋体" w:cs="Times New Roman"/>
      <w:sz w:val="24"/>
      <w:szCs w:val="20"/>
    </w:rPr>
  </w:style>
  <w:style w:type="paragraph" w:styleId="960">
    <w:name w:val="样式1"/>
    <w:basedOn w:val="860"/>
    <w:next w:val="960"/>
    <w:link w:val="860"/>
    <w:pPr>
      <w:numPr>
        <w:ilvl w:val="0"/>
        <w:numId w:val="3"/>
      </w:numPr>
      <w:tabs>
        <w:tab w:val="left" w:pos="709" w:leader="none"/>
      </w:tabs>
    </w:pPr>
    <w:rPr>
      <w:rFonts w:ascii="宋体" w:hAnsi="宋体" w:eastAsia="宋体" w:cs="Times New Roman"/>
      <w:szCs w:val="21"/>
    </w:rPr>
  </w:style>
  <w:style w:type="paragraph" w:styleId="961">
    <w:name w:val="font6"/>
    <w:basedOn w:val="860"/>
    <w:next w:val="961"/>
    <w:link w:val="860"/>
    <w:pPr>
      <w:jc w:val="left"/>
      <w:spacing w:before="100" w:beforeAutospacing="1" w:after="100" w:afterAutospacing="1"/>
      <w:widowControl/>
    </w:pPr>
    <w:rPr>
      <w:rFonts w:hint="eastAsia" w:ascii="宋体" w:hAnsi="宋体" w:eastAsia="宋体" w:cs="Times New Roman"/>
      <w:sz w:val="28"/>
      <w:szCs w:val="28"/>
      <w:u w:val="single"/>
    </w:rPr>
  </w:style>
  <w:style w:type="paragraph" w:styleId="962">
    <w:name w:val="xl25"/>
    <w:basedOn w:val="860"/>
    <w:next w:val="962"/>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name w:val="图标"/>
    <w:basedOn w:val="860"/>
    <w:next w:val="860"/>
    <w:link w:val="8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4">
    <w:name w:val="标题3"/>
    <w:basedOn w:val="860"/>
    <w:next w:val="860"/>
    <w:link w:val="860"/>
    <w:pPr>
      <w:ind w:firstLine="624"/>
      <w:spacing w:line="590" w:lineRule="atLeast"/>
    </w:pPr>
    <w:rPr>
      <w:rFonts w:ascii="方正黑体_GBK" w:hAnsi="Times New Roman" w:eastAsia="方正黑体_GBK" w:cs="Times New Roman"/>
      <w:sz w:val="32"/>
      <w:szCs w:val="32"/>
    </w:rPr>
  </w:style>
  <w:style w:type="paragraph" w:styleId="965">
    <w:name w:val="xl24"/>
    <w:basedOn w:val="860"/>
    <w:next w:val="965"/>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xl29"/>
    <w:basedOn w:val="860"/>
    <w:next w:val="966"/>
    <w:link w:val="8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7">
    <w:name w:val="Char Char Char Char Char Char Char Char"/>
    <w:basedOn w:val="860"/>
    <w:next w:val="967"/>
    <w:link w:val="860"/>
    <w:pPr>
      <w:jc w:val="left"/>
      <w:spacing w:after="160" w:line="240" w:lineRule="exact"/>
      <w:widowControl/>
    </w:pPr>
    <w:rPr>
      <w:rFonts w:ascii="Verdana" w:hAnsi="Verdana" w:eastAsia="宋体" w:cs="Times New Roman"/>
      <w:sz w:val="20"/>
      <w:szCs w:val="20"/>
      <w:lang w:eastAsia="en-US"/>
    </w:rPr>
  </w:style>
  <w:style w:type="paragraph" w:styleId="968">
    <w:name w:val="xl28"/>
    <w:basedOn w:val="860"/>
    <w:next w:val="968"/>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9">
    <w:name w:val=" Char Char Char Char Char Char Char Char"/>
    <w:basedOn w:val="860"/>
    <w:next w:val="969"/>
    <w:link w:val="860"/>
    <w:pPr>
      <w:jc w:val="left"/>
      <w:spacing w:after="160" w:line="240" w:lineRule="exact"/>
      <w:widowControl/>
    </w:pPr>
    <w:rPr>
      <w:rFonts w:ascii="Verdana" w:hAnsi="Verdana" w:eastAsia="宋体" w:cs="Times New Roman"/>
      <w:sz w:val="20"/>
      <w:szCs w:val="20"/>
      <w:lang w:eastAsia="en-US"/>
    </w:rPr>
  </w:style>
  <w:style w:type="paragraph" w:styleId="970">
    <w:name w:val="xl30"/>
    <w:basedOn w:val="860"/>
    <w:next w:val="970"/>
    <w:link w:val="860"/>
    <w:pPr>
      <w:jc w:val="center"/>
      <w:spacing w:before="100" w:beforeAutospacing="1" w:after="100" w:afterAutospacing="1"/>
      <w:widowControl/>
    </w:pPr>
    <w:rPr>
      <w:rFonts w:ascii="宋体" w:hAnsi="宋体" w:eastAsia="宋体" w:cs="Times New Roman"/>
      <w:b/>
      <w:bCs/>
      <w:sz w:val="36"/>
      <w:szCs w:val="36"/>
    </w:rPr>
  </w:style>
  <w:style w:type="paragraph" w:styleId="971">
    <w:name w:val="Char Char Char Char"/>
    <w:basedOn w:val="891"/>
    <w:next w:val="971"/>
    <w:link w:val="860"/>
    <w:pPr>
      <w:spacing w:line="360" w:lineRule="auto"/>
    </w:pPr>
    <w:rPr>
      <w:rFonts w:ascii="Tahoma" w:hAnsi="Tahoma"/>
      <w:sz w:val="24"/>
      <w:szCs w:val="24"/>
    </w:rPr>
  </w:style>
  <w:style w:type="paragraph" w:styleId="972">
    <w:name w:val="table_1stline"/>
    <w:basedOn w:val="860"/>
    <w:next w:val="972"/>
    <w:link w:val="860"/>
    <w:pPr>
      <w:jc w:val="left"/>
      <w:spacing w:before="120"/>
      <w:widowControl/>
    </w:pPr>
    <w:rPr>
      <w:rFonts w:ascii="Times New Roman" w:hAnsi="Times New Roman" w:eastAsia="宋体" w:cs="Times New Roman"/>
      <w:bCs/>
      <w:sz w:val="20"/>
      <w:szCs w:val="20"/>
      <w:lang w:val="de-DE" w:eastAsia="de-DE"/>
    </w:rPr>
  </w:style>
  <w:style w:type="paragraph" w:styleId="973">
    <w:name w:val="font5"/>
    <w:basedOn w:val="860"/>
    <w:next w:val="973"/>
    <w:link w:val="860"/>
    <w:pPr>
      <w:jc w:val="left"/>
      <w:spacing w:before="100" w:beforeAutospacing="1" w:after="100" w:afterAutospacing="1"/>
      <w:widowControl/>
    </w:pPr>
    <w:rPr>
      <w:rFonts w:hint="eastAsia" w:ascii="宋体" w:hAnsi="宋体" w:eastAsia="宋体" w:cs="Times New Roman"/>
      <w:sz w:val="28"/>
      <w:szCs w:val="28"/>
    </w:rPr>
  </w:style>
  <w:style w:type="paragraph" w:styleId="974">
    <w:name w:val="标题1"/>
    <w:basedOn w:val="860"/>
    <w:next w:val="860"/>
    <w:link w:val="8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5">
    <w:name w:val="修订"/>
    <w:next w:val="975"/>
    <w:link w:val="860"/>
    <w:uiPriority w:val="99"/>
    <w:semiHidden/>
    <w:rPr>
      <w:rFonts w:ascii="Times New Roman" w:hAnsi="Times New Roman"/>
      <w:sz w:val="21"/>
      <w:szCs w:val="21"/>
      <w:lang w:val="en-US" w:eastAsia="zh-CN" w:bidi="ar-SA"/>
    </w:rPr>
  </w:style>
  <w:style w:type="paragraph" w:styleId="976">
    <w:name w:val="无间隔"/>
    <w:next w:val="976"/>
    <w:link w:val="860"/>
    <w:uiPriority w:val="99"/>
    <w:qFormat/>
    <w:pPr>
      <w:jc w:val="both"/>
      <w:widowControl w:val="off"/>
    </w:pPr>
    <w:rPr>
      <w:rFonts w:ascii="Times New Roman" w:hAnsi="Times New Roman"/>
      <w:sz w:val="21"/>
      <w:szCs w:val="21"/>
      <w:lang w:val="en-US" w:eastAsia="zh-CN" w:bidi="ar-SA"/>
    </w:rPr>
  </w:style>
  <w:style w:type="table" w:styleId="977">
    <w:name w:val="Table Normal"/>
    <w:next w:val="977"/>
    <w:link w:val="860"/>
    <w:qFormat/>
    <w:rPr>
      <w:lang w:val="en-US" w:eastAsia="zh-CN" w:bidi="ar-SA"/>
    </w:rPr>
    <w:tblPr/>
  </w:style>
  <w:style w:type="paragraph" w:styleId="978">
    <w:name w:val="正文文本 211"/>
    <w:basedOn w:val="860"/>
    <w:next w:val="978"/>
    <w:link w:val="860"/>
    <w:uiPriority w:val="99"/>
    <w:qFormat/>
    <w:pPr>
      <w:jc w:val="center"/>
    </w:pPr>
    <w:rPr>
      <w:b/>
      <w:bCs/>
      <w:sz w:val="20"/>
      <w:szCs w:val="20"/>
    </w:rPr>
  </w:style>
  <w:style w:type="paragraph" w:styleId="979">
    <w:name w:val="正文文本12"/>
    <w:basedOn w:val="860"/>
    <w:next w:val="979"/>
    <w:link w:val="860"/>
    <w:uiPriority w:val="1"/>
    <w:qFormat/>
    <w:pPr>
      <w:ind w:left="120"/>
    </w:pPr>
    <w:rPr>
      <w:rFonts w:ascii="宋体" w:hAnsi="宋体" w:eastAsia="宋体" w:cs="宋体"/>
      <w:sz w:val="21"/>
      <w:szCs w:val="21"/>
      <w:lang w:val="zh-CN" w:eastAsia="zh-CN" w:bidi="zh-CN"/>
    </w:rPr>
  </w:style>
  <w:style w:type="table" w:styleId="980">
    <w:name w:val="网格型1"/>
    <w:basedOn w:val="981"/>
    <w:next w:val="980"/>
    <w:link w:val="860"/>
    <w:qFormat/>
    <w:pPr>
      <w:jc w:val="both"/>
      <w:widowControl w:val="off"/>
    </w:pPr>
    <w:tblPr/>
  </w:style>
  <w:style w:type="table" w:styleId="981">
    <w:name w:val="普通表格1"/>
    <w:next w:val="981"/>
    <w:link w:val="860"/>
    <w:uiPriority w:val="99"/>
    <w:unhideWhenUsed/>
    <w:qFormat/>
    <w:rPr>
      <w:lang w:val="en-US" w:eastAsia="zh-CN" w:bidi="ar-SA"/>
    </w:rPr>
    <w:tblPr/>
  </w:style>
  <w:style w:type="paragraph" w:styleId="982">
    <w:name w:val="正文首行缩进 211"/>
    <w:basedOn w:val="983"/>
    <w:next w:val="860"/>
    <w:link w:val="860"/>
    <w:qFormat/>
    <w:pPr>
      <w:ind w:left="0" w:firstLine="420"/>
      <w:spacing w:after="0" w:line="360" w:lineRule="auto"/>
    </w:pPr>
    <w:rPr>
      <w:rFonts w:ascii="宋体" w:hAnsi="宋体" w:eastAsia="宋体" w:cs="Times New Roman"/>
      <w:szCs w:val="20"/>
    </w:rPr>
  </w:style>
  <w:style w:type="paragraph" w:styleId="983">
    <w:name w:val="正文文本缩进11"/>
    <w:basedOn w:val="860"/>
    <w:next w:val="984"/>
    <w:link w:val="860"/>
    <w:unhideWhenUsed/>
    <w:qFormat/>
    <w:pPr>
      <w:ind w:left="420"/>
      <w:spacing w:after="120"/>
    </w:pPr>
  </w:style>
  <w:style w:type="paragraph" w:styleId="984">
    <w:name w:val="寄信人地址1"/>
    <w:basedOn w:val="860"/>
    <w:next w:val="984"/>
    <w:link w:val="860"/>
    <w:qFormat/>
    <w:rPr>
      <w:rFonts w:ascii="Arial" w:hAnsi="Arial" w:eastAsia="宋体" w:cs="宋体"/>
    </w:r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5</cp:revision>
  <dcterms:created xsi:type="dcterms:W3CDTF">2023-03-27T07:28:00Z</dcterms:created>
  <dcterms:modified xsi:type="dcterms:W3CDTF">2026-06-10T02:32:28Z</dcterms:modified>
  <cp:version>1048576</cp:version>
</cp:coreProperties>
</file>